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sz w:val="36"/>
          <w:szCs w:val="22"/>
        </w:rPr>
      </w:pPr>
      <w:r>
        <w:rPr>
          <w:rFonts w:hint="eastAsia" w:ascii="黑体" w:hAnsi="黑体" w:eastAsia="黑体" w:cs="黑体"/>
          <w:sz w:val="36"/>
          <w:szCs w:val="22"/>
        </w:rPr>
        <w:t>景德镇市农村经营管理站2021年部门预算</w:t>
      </w:r>
    </w:p>
    <w:p>
      <w:pPr>
        <w:spacing w:before="240"/>
        <w:jc w:val="center"/>
        <w:rPr>
          <w:rFonts w:ascii="黑体" w:hAnsi="黑体" w:eastAsia="黑体" w:cs="黑体"/>
          <w:b/>
          <w:sz w:val="36"/>
          <w:szCs w:val="22"/>
        </w:rPr>
      </w:pPr>
      <w:r>
        <w:rPr>
          <w:rFonts w:hint="eastAsia" w:ascii="黑体" w:hAnsi="黑体" w:eastAsia="黑体" w:cs="黑体"/>
          <w:b/>
          <w:sz w:val="36"/>
          <w:szCs w:val="22"/>
        </w:rPr>
        <w:t>目   录</w:t>
      </w:r>
    </w:p>
    <w:p>
      <w:pPr>
        <w:rPr>
          <w:rFonts w:ascii="黑体" w:eastAsia="黑体" w:cs="Times New Roman"/>
          <w:sz w:val="32"/>
          <w:szCs w:val="32"/>
        </w:rPr>
      </w:pPr>
      <w:r>
        <w:rPr>
          <w:rFonts w:hint="eastAsia" w:ascii="黑体" w:hAnsi="宋体" w:eastAsia="黑体" w:cs="黑体"/>
          <w:sz w:val="32"/>
          <w:szCs w:val="32"/>
        </w:rPr>
        <w:t xml:space="preserve">    第一部分景德镇市农村经营管理站概况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一、单位主要职责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二、单位基本情况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第二部分景德镇市农村经营管理站2021年部门预算情况说明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ascii="仿宋_GB2312" w:hAnsi="微软雅黑" w:eastAsia="仿宋_GB2312" w:cs="仿宋_GB2312"/>
          <w:color w:val="000000"/>
          <w:kern w:val="0"/>
          <w:sz w:val="32"/>
          <w:szCs w:val="32"/>
          <w:shd w:val="clear" w:color="auto" w:fill="FFFFFF"/>
        </w:rPr>
        <w:t>一、20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年部门预算收支情况说明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1、预算收入情况说明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2、预算支出情况说明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3、经费拨款情况说明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4、政府采购安排情况说明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5、政府性基金收支情况说明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6、机关运行经费情况说明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7、</w:t>
      </w:r>
      <w:r>
        <w:rPr>
          <w:rFonts w:ascii="仿宋_GB2312" w:hAnsi="微软雅黑" w:eastAsia="仿宋_GB2312" w:cs="仿宋_GB2312"/>
          <w:color w:val="000000"/>
          <w:kern w:val="0"/>
          <w:sz w:val="32"/>
          <w:szCs w:val="32"/>
          <w:shd w:val="clear" w:color="auto" w:fill="FFFFFF"/>
        </w:rPr>
        <w:t>国有资产占用情况说明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8、</w:t>
      </w:r>
      <w:r>
        <w:rPr>
          <w:rFonts w:ascii="仿宋_GB2312" w:hAnsi="微软雅黑" w:eastAsia="仿宋_GB2312" w:cs="仿宋_GB2312"/>
          <w:color w:val="000000"/>
          <w:kern w:val="0"/>
          <w:sz w:val="32"/>
          <w:szCs w:val="32"/>
          <w:shd w:val="clear" w:color="auto" w:fill="FFFFFF"/>
        </w:rPr>
        <w:t>预算绩效情况说明</w:t>
      </w:r>
    </w:p>
    <w:p>
      <w:pPr>
        <w:widowControl/>
        <w:shd w:val="clear" w:color="auto" w:fill="FFFFFF"/>
        <w:jc w:val="left"/>
        <w:rPr>
          <w:rFonts w:ascii="仿宋_GB2312" w:eastAsia="仿宋_GB2312" w:cs="Times New Roman"/>
          <w:sz w:val="32"/>
          <w:szCs w:val="32"/>
        </w:rPr>
      </w:pPr>
      <w:r>
        <w:rPr>
          <w:rFonts w:ascii="仿宋_GB2312" w:hAnsi="微软雅黑" w:eastAsia="仿宋_GB2312" w:cs="仿宋_GB2312"/>
          <w:color w:val="000000"/>
          <w:kern w:val="0"/>
          <w:sz w:val="32"/>
          <w:szCs w:val="32"/>
          <w:shd w:val="clear" w:color="auto" w:fill="FFFFFF"/>
        </w:rPr>
        <w:t>二、20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三公</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第三部分景德镇市农村经营管理站2021年部门预算表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九、《部门整体绩效目标表》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十、《一级项目绩效目标表》</w:t>
      </w:r>
    </w:p>
    <w:p>
      <w:pPr>
        <w:rPr>
          <w:rFonts w:ascii="黑体" w:hAnsi="宋体" w:eastAsia="黑体" w:cs="黑体"/>
          <w:sz w:val="32"/>
          <w:szCs w:val="32"/>
        </w:rPr>
      </w:pPr>
      <w:r>
        <w:rPr>
          <w:rFonts w:hint="eastAsia" w:ascii="黑体" w:hAnsi="宋体" w:eastAsia="黑体" w:cs="黑体"/>
          <w:sz w:val="32"/>
          <w:szCs w:val="32"/>
        </w:rPr>
        <w:t xml:space="preserve">    第四部分名词解释</w:t>
      </w:r>
    </w:p>
    <w:p>
      <w:pPr>
        <w:rPr>
          <w:rFonts w:ascii="仿宋_GB2312" w:eastAsia="仿宋_GB2312" w:cs="Times New Roman"/>
          <w:b/>
          <w:bCs/>
          <w:sz w:val="32"/>
          <w:szCs w:val="32"/>
        </w:rPr>
      </w:pPr>
    </w:p>
    <w:p>
      <w:pPr>
        <w:rPr>
          <w:rFonts w:ascii="黑体" w:hAnsi="宋体" w:eastAsia="黑体" w:cs="Times New Roman"/>
          <w:sz w:val="32"/>
          <w:szCs w:val="32"/>
        </w:rPr>
      </w:pPr>
      <w:r>
        <w:rPr>
          <w:rFonts w:hint="eastAsia" w:ascii="黑体" w:hAnsi="宋体" w:eastAsia="黑体" w:cs="黑体"/>
          <w:sz w:val="32"/>
          <w:szCs w:val="32"/>
        </w:rPr>
        <w:t xml:space="preserve">    第一部分景德镇市农村经营管理站概况</w:t>
      </w:r>
    </w:p>
    <w:p>
      <w:pPr>
        <w:spacing w:line="560" w:lineRule="exact"/>
        <w:ind w:firstLine="600"/>
        <w:rPr>
          <w:rFonts w:ascii="仿宋_GB2312" w:hAnsi="宋体" w:eastAsia="仿宋_GB2312" w:cs="仿宋_GB2312"/>
          <w:b/>
          <w:bCs/>
          <w:sz w:val="32"/>
          <w:szCs w:val="32"/>
        </w:rPr>
      </w:pPr>
      <w:r>
        <w:rPr>
          <w:rFonts w:hint="eastAsia" w:ascii="仿宋_GB2312" w:hAnsi="宋体" w:eastAsia="仿宋_GB2312" w:cs="仿宋_GB2312"/>
          <w:b/>
          <w:bCs/>
          <w:sz w:val="32"/>
          <w:szCs w:val="32"/>
        </w:rPr>
        <w:t>一、单位主要职责</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指导全市农民合作社、家庭农场等新型农业经营主体的发展和管理，指导全市农村集体（合作）经济组织财务、资产、资源的管理和审计；指导全市农村土地承包、农村土地经营权流转和承包合同的管理；负责减轻农民负担监督管理；协调指导农业社会化服务体系建设；以及承担部份农业农村改革任务等。</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二、单位基本情况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景德镇市农村经营管理站为全额拨款公益一类事业单位，人员编制总数为5个，实有在职人数4人（其中1人已调入景德镇市退役军人事务局，但2021年预算暂未调整），退休人员5人。</w:t>
      </w:r>
    </w:p>
    <w:p>
      <w:pPr>
        <w:rPr>
          <w:rFonts w:ascii="黑体" w:hAnsi="宋体" w:eastAsia="黑体" w:cs="Times New Roman"/>
          <w:sz w:val="32"/>
          <w:szCs w:val="32"/>
        </w:rPr>
      </w:pPr>
      <w:r>
        <w:rPr>
          <w:rFonts w:hint="eastAsia" w:ascii="黑体" w:hAnsi="宋体" w:eastAsia="黑体" w:cs="黑体"/>
          <w:sz w:val="32"/>
          <w:szCs w:val="32"/>
        </w:rPr>
        <w:t xml:space="preserve">    第二部分  景德镇市农村经营管理站2021年部门预算情况说明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2021年景德镇市农村经营管理站收入预算总额为128.33万元，其中：当年公共财政拨款收入107.33万元，占收入预算总额的83.64%，较上年期增加1.23万元；上年结转收入21万元，占收入预算总额的16.36%。</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景德镇市农村经营管理站支出预算总额为128.33万元，与上年预算相比增加3.23万元。其中：按支出项目类别划分：基本支出78.33万元，占支出预算总额的61.04%，包括工资福利支出52.07万元、商品和服务支出5.14万元、对个人和家庭的补助21.12万元；项目支出50万元，占支出总额的38.96%。</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按支出功能项目科目划分：社会保障和就业支出5.42万元，占支出预算总额的4.22%；卫生健康支出6.02万元，占支出预算总额的4.69%；农林水支出112.83万元，占支出预算总额的87.93%；住房保障支出4.06万元，占支出预算总额的3.16%。</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按支出经济分类划分：工资福利支出52.07万元，占支出预算总额的40.58%；商品和服务支出55.14万元，占支出预算总额的42.97%；对个人和家庭的补助21.12万元，占支出预算总额的16.45%。</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景德镇市农村经营管理站财政拨款支出预算107.33万元，占支出预算总额的90.67%，与上年预算相比增加1.23万元，主要是由于每年正常调资增加相应支出。具体支出情况是：社会保障和就业支出5.42万元，占财政拨款支出5.05%；卫生健康支出6.02万元，占财政拨款支出5.61%；农林水支出91.83万元，占财政拨款支出85.56%；住房保障支出4.06万元，占财政拨款支出3.78%。</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 xml:space="preserve"> (四）政府采购预算情况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2021年无政府采购预算支出。</w:t>
      </w:r>
    </w:p>
    <w:p>
      <w:pPr>
        <w:ind w:firstLine="640" w:firstLineChars="200"/>
        <w:rPr>
          <w:rFonts w:ascii="仿宋_GB2312" w:eastAsia="仿宋_GB2312" w:cs="Times New Roman"/>
          <w:b/>
          <w:bCs/>
          <w:sz w:val="32"/>
          <w:szCs w:val="32"/>
        </w:rPr>
      </w:pPr>
      <w:r>
        <w:rPr>
          <w:rFonts w:hint="eastAsia" w:ascii="仿宋_GB2312" w:hAnsi="宋体" w:eastAsia="仿宋_GB2312" w:cs="仿宋_GB2312"/>
          <w:sz w:val="32"/>
          <w:szCs w:val="32"/>
        </w:rPr>
        <w:t>（五）</w:t>
      </w:r>
      <w:r>
        <w:rPr>
          <w:rFonts w:hint="eastAsia" w:ascii="仿宋_GB2312" w:hAnsi="宋体" w:eastAsia="仿宋_GB2312" w:cs="仿宋_GB2312"/>
          <w:b/>
          <w:bCs/>
          <w:sz w:val="32"/>
          <w:szCs w:val="32"/>
        </w:rPr>
        <w:t>政府基金收支情况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2021年无政府基金收支。</w:t>
      </w:r>
    </w:p>
    <w:p>
      <w:pPr>
        <w:spacing w:line="560" w:lineRule="exact"/>
        <w:ind w:firstLine="600"/>
        <w:rPr>
          <w:rFonts w:ascii="仿宋_GB2312" w:eastAsia="仿宋_GB2312" w:cs="Times New Roman"/>
          <w:b/>
          <w:bCs/>
          <w:sz w:val="32"/>
          <w:szCs w:val="32"/>
        </w:rPr>
      </w:pPr>
      <w:r>
        <w:rPr>
          <w:rFonts w:hint="eastAsia" w:ascii="仿宋_GB2312" w:hAnsi="宋体" w:eastAsia="仿宋_GB2312" w:cs="仿宋_GB2312"/>
          <w:b/>
          <w:sz w:val="32"/>
          <w:szCs w:val="32"/>
        </w:rPr>
        <w:t>（六)</w:t>
      </w:r>
      <w:r>
        <w:rPr>
          <w:rFonts w:hint="eastAsia" w:ascii="仿宋_GB2312" w:hAnsi="宋体" w:eastAsia="仿宋_GB2312" w:cs="仿宋_GB2312"/>
          <w:b/>
          <w:bCs/>
          <w:sz w:val="32"/>
          <w:szCs w:val="32"/>
        </w:rPr>
        <w:t>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2021年景德镇市农村经营管理站“三公”经费年初预算安排3.3万元。其中：因公出国（境）费0万元，比上年增（减）0万元。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公务接待费3.3万元，比上年增（减）0.1万元。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公务用车运行维护费0万元，比上年增（减）0万元。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2021年部门整体绩效目标无。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hAnsi="宋体" w:eastAsia="仿宋_GB2312" w:cs="仿宋_GB2312"/>
          <w:b/>
          <w:bCs/>
          <w:sz w:val="32"/>
          <w:szCs w:val="32"/>
          <w:lang w:eastAsia="zh-CN"/>
        </w:rPr>
        <w:t>二</w:t>
      </w:r>
      <w:r>
        <w:rPr>
          <w:rFonts w:hint="eastAsia" w:ascii="仿宋_GB2312" w:eastAsia="仿宋_GB2312"/>
          <w:b/>
          <w:bCs/>
          <w:color w:val="000000"/>
          <w:sz w:val="32"/>
          <w:szCs w:val="30"/>
        </w:rPr>
        <w:t>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hAnsi="宋体" w:eastAsia="仿宋_GB2312" w:cs="仿宋_GB2312"/>
          <w:sz w:val="32"/>
          <w:szCs w:val="32"/>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50</w:t>
      </w:r>
      <w:r>
        <w:rPr>
          <w:rFonts w:hint="eastAsia" w:ascii="仿宋_GB2312" w:eastAsia="仿宋_GB2312"/>
          <w:color w:val="000000"/>
          <w:sz w:val="32"/>
          <w:szCs w:val="30"/>
        </w:rPr>
        <w:t>万元。</w:t>
      </w:r>
    </w:p>
    <w:p>
      <w:pPr>
        <w:widowControl/>
        <w:numPr>
          <w:ilvl w:val="0"/>
          <w:numId w:val="1"/>
        </w:numPr>
        <w:spacing w:line="600" w:lineRule="exact"/>
        <w:ind w:firstLine="643" w:firstLineChars="200"/>
        <w:jc w:val="left"/>
        <w:rPr>
          <w:rFonts w:hint="eastAsia" w:ascii="仿宋_GB2312" w:eastAsia="仿宋_GB2312"/>
          <w:b/>
          <w:color w:val="000000"/>
          <w:sz w:val="32"/>
          <w:szCs w:val="30"/>
        </w:rPr>
      </w:pPr>
      <w:bookmarkStart w:id="0" w:name="_GoBack"/>
      <w:bookmarkEnd w:id="0"/>
      <w:r>
        <w:rPr>
          <w:rFonts w:hint="eastAsia" w:ascii="仿宋_GB2312" w:eastAsia="仿宋_GB2312"/>
          <w:b/>
          <w:color w:val="000000"/>
          <w:sz w:val="32"/>
          <w:szCs w:val="30"/>
        </w:rPr>
        <w:t>各二级项目情况说明</w:t>
      </w:r>
    </w:p>
    <w:p>
      <w:pPr>
        <w:ind w:firstLine="643" w:firstLineChars="200"/>
        <w:rPr>
          <w:rFonts w:hint="eastAsia" w:ascii="仿宋_GB2312" w:eastAsia="仿宋_GB2312"/>
          <w:color w:val="000000"/>
          <w:sz w:val="32"/>
          <w:szCs w:val="30"/>
        </w:rPr>
      </w:pPr>
      <w:r>
        <w:rPr>
          <w:rFonts w:hint="eastAsia" w:ascii="仿宋_GB2312" w:eastAsia="仿宋_GB2312"/>
          <w:b/>
          <w:color w:val="000000"/>
          <w:sz w:val="32"/>
          <w:szCs w:val="30"/>
          <w:lang w:val="en-US" w:eastAsia="zh-CN"/>
        </w:rPr>
        <w:t xml:space="preserve"> </w:t>
      </w:r>
      <w:r>
        <w:rPr>
          <w:rFonts w:hint="eastAsia" w:ascii="仿宋_GB2312" w:eastAsia="仿宋_GB2312"/>
          <w:color w:val="000000"/>
          <w:sz w:val="32"/>
          <w:szCs w:val="30"/>
        </w:rPr>
        <w:t>1、现代农业专项经费</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（1）实施主体</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景德镇市农业经营管理站</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（2）实施周期</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项目实施周期为2021年全年。</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（3）年度预算安排</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 xml:space="preserve"> 景德镇市2021年年初预算安排现代农业专项经费35万元。</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（4）年度绩效目标</w:t>
      </w:r>
    </w:p>
    <w:p>
      <w:pPr>
        <w:widowControl/>
        <w:numPr>
          <w:numId w:val="0"/>
        </w:numPr>
        <w:spacing w:line="600" w:lineRule="exact"/>
        <w:jc w:val="left"/>
        <w:rPr>
          <w:rFonts w:hint="default" w:ascii="仿宋_GB2312" w:eastAsia="仿宋_GB2312"/>
          <w:b/>
          <w:color w:val="000000"/>
          <w:sz w:val="32"/>
          <w:szCs w:val="30"/>
          <w:lang w:val="en-US" w:eastAsia="zh-CN"/>
        </w:rPr>
      </w:pPr>
      <w:r>
        <w:rPr>
          <w:rFonts w:hint="eastAsia" w:ascii="仿宋_GB2312" w:eastAsia="仿宋_GB2312"/>
          <w:color w:val="000000"/>
          <w:sz w:val="32"/>
          <w:szCs w:val="30"/>
        </w:rPr>
        <w:t>建立和完善农村产权交易中心，开展农村土地流转指导及农村土地流转合同规范化管理；开展农村土地流转政策法规的宣传培训；开展农村集体资产产权交易、组织实施农村“两权”抵押贷款试点等等。</w:t>
      </w:r>
    </w:p>
    <w:p>
      <w:pPr>
        <w:widowControl/>
        <w:spacing w:line="600" w:lineRule="exact"/>
        <w:ind w:left="640"/>
        <w:jc w:val="left"/>
        <w:rPr>
          <w:rFonts w:ascii="仿宋_GB2312" w:eastAsia="仿宋_GB2312"/>
          <w:color w:val="000000"/>
          <w:sz w:val="32"/>
          <w:szCs w:val="30"/>
        </w:rPr>
      </w:pPr>
      <w:r>
        <w:rPr>
          <w:rFonts w:hint="eastAsia" w:ascii="仿宋_GB2312" w:eastAsia="仿宋_GB2312"/>
          <w:color w:val="000000"/>
          <w:sz w:val="32"/>
          <w:szCs w:val="30"/>
        </w:rPr>
        <w:t>2、农业技术推广专项经费</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（1）实施主体</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景德镇市农村经营管理站</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（2）实施周期</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项目实施周期为2021年全年。</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（3）年度预算安排</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 xml:space="preserve"> 景德镇市2021年年初预算安排现代农业专项经费15万元。</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（4）年度绩效目标</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通过本项目的实施，可使我市2021年当年新增农民专业合作社100家，新增市级以上示范合作社10家，入社成员较普通老百姓年增收20%以上；农民合作社运行更加规范。</w:t>
      </w:r>
    </w:p>
    <w:p>
      <w:pPr>
        <w:tabs>
          <w:tab w:val="left" w:pos="1113"/>
        </w:tabs>
        <w:rPr>
          <w:rFonts w:ascii="仿宋_GB2312" w:hAnsi="宋体" w:eastAsia="仿宋_GB2312" w:cs="仿宋_GB2312"/>
          <w:b/>
          <w:bCs/>
          <w:sz w:val="32"/>
          <w:szCs w:val="32"/>
        </w:rPr>
      </w:pPr>
      <w:r>
        <w:rPr>
          <w:rFonts w:hint="eastAsia" w:ascii="仿宋_GB2312" w:hAnsi="宋体" w:eastAsia="仿宋_GB2312" w:cs="仿宋_GB2312"/>
          <w:b/>
          <w:bCs/>
          <w:sz w:val="32"/>
          <w:szCs w:val="32"/>
        </w:rPr>
        <w:t>第三部分  景德镇市农村经营管理站2021年部门预算表</w:t>
      </w:r>
    </w:p>
    <w:p>
      <w:pPr>
        <w:ind w:firstLine="640" w:firstLineChars="200"/>
        <w:rPr>
          <w:rFonts w:ascii="仿宋_GB2312" w:hAnsi="宋体" w:eastAsia="仿宋_GB2312" w:cs="仿宋_GB2312"/>
          <w:sz w:val="32"/>
          <w:szCs w:val="32"/>
          <w:shd w:val="clear" w:color="FFFFFF" w:fill="D9D9D9"/>
        </w:rPr>
      </w:pPr>
      <w:r>
        <w:rPr>
          <w:rFonts w:hint="eastAsia" w:ascii="仿宋_GB2312" w:eastAsia="仿宋_GB2312"/>
          <w:color w:val="000000"/>
          <w:sz w:val="32"/>
          <w:szCs w:val="30"/>
        </w:rPr>
        <w:t>（详见附表）</w:t>
      </w:r>
    </w:p>
    <w:p>
      <w:pPr>
        <w:tabs>
          <w:tab w:val="left" w:pos="1113"/>
        </w:tabs>
        <w:rPr>
          <w:rFonts w:ascii="仿宋_GB2312" w:hAnsi="宋体" w:eastAsia="仿宋_GB2312" w:cs="仿宋_GB2312"/>
          <w:b/>
          <w:bCs/>
          <w:sz w:val="32"/>
          <w:szCs w:val="32"/>
        </w:rPr>
      </w:pPr>
      <w:r>
        <w:rPr>
          <w:rFonts w:hint="eastAsia" w:ascii="仿宋_GB2312" w:hAnsi="宋体" w:eastAsia="仿宋_GB2312" w:cs="仿宋_GB2312"/>
          <w:b/>
          <w:bCs/>
          <w:sz w:val="32"/>
          <w:szCs w:val="32"/>
        </w:rPr>
        <w:t>第四部分  名词解释</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一、收入科目</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二、支出科目</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（一）一般公共服务支出（类）纪检监察事务（款）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派驻派出机构（项）：反映由纪检监察部门负担的派驻各部门和单位的纪检监察人员的专项业务支出。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（二）社会保障和就业支出（类）行政事业单位养老（款）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行政单位离退休（项）：反映行政单位（含参公）开支的离退休经费。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事业单位离退休（项）：反映事业单位开支的离退休费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机关事业单位基本养老保险缴费（项）：反映机关事业单位实施养老保险制度由单位缴纳的基本养老保险费支出。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卫生健康支出（类）卫生健康管理事务（款）</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 xml:space="preserve">     其他卫生健康管理事务（项）：反映其他用于卫生健康管理事务各方面的支出。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卫生健康支出（类）行政事业单位医疗（款）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行政单位医疗</w:t>
      </w:r>
      <w:r>
        <w:rPr>
          <w:rFonts w:hint="eastAsia" w:ascii="仿宋_GB2312" w:hAnsi="宋体" w:eastAsia="仿宋_GB2312" w:cs="仿宋_GB2312"/>
          <w:sz w:val="32"/>
          <w:szCs w:val="32"/>
        </w:rPr>
        <w:t>（项）：反映财政部门安排的行政单位（含参公）基本医疗保险缴费经费，未参加医疗保险的行政单位的公费医疗经费，按国家规定享受离休人员、红军战士待遇人员的医疗经费。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事业单位医疗</w:t>
      </w:r>
      <w:r>
        <w:rPr>
          <w:rFonts w:hint="eastAsia" w:ascii="仿宋_GB2312" w:hAnsi="宋体" w:eastAsia="仿宋_GB2312" w:cs="仿宋_GB2312"/>
          <w:sz w:val="32"/>
          <w:szCs w:val="32"/>
        </w:rPr>
        <w:t>（项）：反映财政部门安排的事业单位基本医疗保险缴费经费，未参加医疗保险的事业单位的公费医疗经费，按照国家规定享受离休人员待遇的医疗经费。</w:t>
      </w:r>
    </w:p>
    <w:p>
      <w:pPr>
        <w:spacing w:line="560" w:lineRule="exact"/>
        <w:rPr>
          <w:rFonts w:ascii="仿宋_GB2312" w:hAnsi="宋体" w:eastAsia="仿宋_GB2312" w:cs="仿宋_GB2312"/>
          <w:sz w:val="32"/>
          <w:szCs w:val="32"/>
        </w:rPr>
      </w:pPr>
      <w:r>
        <w:rPr>
          <w:rFonts w:ascii="仿宋_GB2312" w:hAnsi="宋体" w:eastAsia="仿宋_GB2312" w:cs="仿宋_GB2312"/>
          <w:sz w:val="32"/>
          <w:szCs w:val="32"/>
        </w:rPr>
        <w:t>公务员医疗补助</w:t>
      </w:r>
      <w:r>
        <w:rPr>
          <w:rFonts w:hint="eastAsia" w:ascii="仿宋_GB2312" w:hAnsi="宋体" w:eastAsia="仿宋_GB2312" w:cs="仿宋_GB2312"/>
          <w:sz w:val="32"/>
          <w:szCs w:val="32"/>
        </w:rPr>
        <w:t>（项）：反映财政部门安排的公务员医疗补助经费。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其他行政事业单位医疗</w:t>
      </w:r>
      <w:r>
        <w:rPr>
          <w:rFonts w:hint="eastAsia" w:ascii="仿宋_GB2312" w:hAnsi="宋体" w:eastAsia="仿宋_GB2312" w:cs="仿宋_GB2312"/>
          <w:sz w:val="32"/>
          <w:szCs w:val="32"/>
        </w:rPr>
        <w:t>（项）：反映除上述项目以外的其他用于行政事业单位医疗方面的支出。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农林水支出（类）农业农村（款）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行政运行</w:t>
      </w:r>
      <w:r>
        <w:rPr>
          <w:rFonts w:hint="eastAsia" w:ascii="仿宋_GB2312" w:hAnsi="宋体" w:eastAsia="仿宋_GB2312" w:cs="仿宋_GB2312"/>
          <w:sz w:val="32"/>
          <w:szCs w:val="32"/>
        </w:rPr>
        <w:t>（项）：反映行政单位（含参公）的基本支出。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事业运行</w:t>
      </w:r>
      <w:r>
        <w:rPr>
          <w:rFonts w:hint="eastAsia" w:ascii="仿宋_GB2312" w:hAnsi="宋体" w:eastAsia="仿宋_GB2312" w:cs="仿宋_GB2312"/>
          <w:sz w:val="32"/>
          <w:szCs w:val="32"/>
        </w:rPr>
        <w:t>（项）：反映用于农业事业单位基本支出，事业单位设施、系统运行与资产维护等方面的支出。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科技转化与推广服务</w:t>
      </w:r>
      <w:r>
        <w:rPr>
          <w:rFonts w:hint="eastAsia" w:ascii="仿宋_GB2312" w:hAnsi="宋体" w:eastAsia="仿宋_GB2312" w:cs="仿宋_GB2312"/>
          <w:sz w:val="32"/>
          <w:szCs w:val="32"/>
        </w:rPr>
        <w:t>（项）：反映用于农业科技成果转化，农业新品种、新机具、新技术引进、试验、示范、推广及服务，农村人居环境整治等方面的技术试验示范支出。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病虫害控制</w:t>
      </w:r>
      <w:r>
        <w:rPr>
          <w:rFonts w:hint="eastAsia" w:ascii="仿宋_GB2312" w:hAnsi="宋体" w:eastAsia="仿宋_GB2312" w:cs="仿宋_GB2312"/>
          <w:sz w:val="32"/>
          <w:szCs w:val="32"/>
        </w:rPr>
        <w:t>（项）：反映用于病虫鼠害及疫情监测、预报、预防、控制、检疫、防疫所需的仪器、设施、药物、疫苗、种苗，疫畜防治、扑杀补偿及劳务补助、菌（毒）种保藏及动植物及其产品检疫、检测等方面的支出。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农产品质量安全</w:t>
      </w:r>
      <w:r>
        <w:rPr>
          <w:rFonts w:hint="eastAsia" w:ascii="仿宋_GB2312" w:hAnsi="宋体" w:eastAsia="仿宋_GB2312" w:cs="仿宋_GB2312"/>
          <w:sz w:val="32"/>
          <w:szCs w:val="32"/>
        </w:rPr>
        <w:t>（项）：反映用于农产品及其投入品的质量安全评估、监测、抽查、认证、应急处置，相关标准的制定、修订、实施、监管等方面的支出。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执法监管</w:t>
      </w:r>
      <w:r>
        <w:rPr>
          <w:rFonts w:hint="eastAsia" w:ascii="仿宋_GB2312" w:hAnsi="宋体" w:eastAsia="仿宋_GB2312" w:cs="仿宋_GB2312"/>
          <w:sz w:val="32"/>
          <w:szCs w:val="32"/>
        </w:rPr>
        <w:t>（项）：反映用于农业农村法制建设、行政执法、行政复议、行政诉讼等方面的支出。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统计监测与信息服务</w:t>
      </w:r>
      <w:r>
        <w:rPr>
          <w:rFonts w:hint="eastAsia" w:ascii="仿宋_GB2312" w:hAnsi="宋体" w:eastAsia="仿宋_GB2312" w:cs="仿宋_GB2312"/>
          <w:sz w:val="32"/>
          <w:szCs w:val="32"/>
        </w:rPr>
        <w:t>（项）：反映用于农业农村统计调查与信息收集、整理、分析、发布，以及农业自然资源调查与农业区划等方面的支出。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农业结构调整补贴</w:t>
      </w:r>
      <w:r>
        <w:rPr>
          <w:rFonts w:hint="eastAsia" w:ascii="仿宋_GB2312" w:hAnsi="宋体" w:eastAsia="仿宋_GB2312" w:cs="仿宋_GB2312"/>
          <w:sz w:val="32"/>
          <w:szCs w:val="32"/>
        </w:rPr>
        <w:t>（项）：反映政府对农业结构调整给予的补贴。</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农业生产发展</w:t>
      </w:r>
      <w:r>
        <w:rPr>
          <w:rFonts w:hint="eastAsia" w:ascii="仿宋_GB2312" w:hAnsi="宋体" w:eastAsia="仿宋_GB2312" w:cs="仿宋_GB2312"/>
          <w:sz w:val="32"/>
          <w:szCs w:val="32"/>
        </w:rPr>
        <w:t>（项）：反映用于耕地地力保护、适度规模经营、农机购置补贴、优势特色经营主体畜禽水产发展、农村一二三产融合等方面的支出。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乡村产业与合作经济</w:t>
      </w:r>
      <w:r>
        <w:rPr>
          <w:rFonts w:hint="eastAsia" w:ascii="仿宋_GB2312" w:hAnsi="宋体" w:eastAsia="仿宋_GB2312" w:cs="仿宋_GB2312"/>
          <w:sz w:val="32"/>
          <w:szCs w:val="32"/>
        </w:rPr>
        <w:t>（项）：反映用于农村集体经济组织、农民合作经济组织、新型农业经营主体和农业社会化服务体系建设，以及土地承包管理、宅基地管理等方面的支出。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农产品加工与促销</w:t>
      </w:r>
      <w:r>
        <w:rPr>
          <w:rFonts w:hint="eastAsia" w:ascii="仿宋_GB2312" w:hAnsi="宋体" w:eastAsia="仿宋_GB2312" w:cs="仿宋_GB2312"/>
          <w:sz w:val="32"/>
          <w:szCs w:val="32"/>
        </w:rPr>
        <w:t>（项）：反映用于促进农产品加工、储藏、运输、国内外大型农产品展示、交易、产销衔接、开拓国内外农产品市场及农业产业化发展等方面的支出。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农业资源保护修复与利用</w:t>
      </w:r>
      <w:r>
        <w:rPr>
          <w:rFonts w:hint="eastAsia" w:ascii="仿宋_GB2312" w:hAnsi="宋体" w:eastAsia="仿宋_GB2312" w:cs="仿宋_GB2312"/>
          <w:sz w:val="32"/>
          <w:szCs w:val="32"/>
        </w:rPr>
        <w:t>（项）：反映用于耕地质量保护、草原草场利用，渔业水域资源环境保护，农业品种改良提升，以及农业生物资源调研收集、鉴定评价、保存利用等方面的支出。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其他农业农村</w:t>
      </w:r>
      <w:r>
        <w:rPr>
          <w:rFonts w:hint="eastAsia" w:ascii="仿宋_GB2312" w:hAnsi="宋体" w:eastAsia="仿宋_GB2312" w:cs="仿宋_GB2312"/>
          <w:sz w:val="32"/>
          <w:szCs w:val="32"/>
        </w:rPr>
        <w:t>：反映其他用于农业农村方面的支出。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住房保障支出（类）住房改革支出（款）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住房公积金</w:t>
      </w:r>
      <w:r>
        <w:rPr>
          <w:rFonts w:hint="eastAsia" w:ascii="仿宋_GB2312" w:hAnsi="宋体" w:eastAsia="仿宋_GB2312" w:cs="仿宋_GB2312"/>
          <w:sz w:val="32"/>
          <w:szCs w:val="32"/>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Fonts w:cs="Times New Roman"/>
      </w:rPr>
    </w:pPr>
    <w:r>
      <w:rPr>
        <w:rStyle w:val="10"/>
      </w:rPr>
      <w:fldChar w:fldCharType="begin"/>
    </w:r>
    <w:r>
      <w:rPr>
        <w:rStyle w:val="10"/>
      </w:rPr>
      <w:instrText xml:space="preserve">PAGE  </w:instrText>
    </w:r>
    <w:r>
      <w:rPr>
        <w:rStyle w:val="10"/>
      </w:rPr>
      <w:fldChar w:fldCharType="separate"/>
    </w:r>
    <w:r>
      <w:rPr>
        <w:rStyle w:val="10"/>
      </w:rPr>
      <w:t>9</w:t>
    </w:r>
    <w:r>
      <w:rPr>
        <w:rStyle w:val="10"/>
      </w:rPr>
      <w:fldChar w:fldCharType="end"/>
    </w:r>
  </w:p>
  <w:p>
    <w:pPr>
      <w:pStyle w:val="6"/>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66A2FFD8"/>
    <w:multiLevelType w:val="singleLevel"/>
    <w:tmpl w:val="66A2FFD8"/>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19076E1D"/>
    <w:rsid w:val="000139D5"/>
    <w:rsid w:val="000429DB"/>
    <w:rsid w:val="00066060"/>
    <w:rsid w:val="000A0672"/>
    <w:rsid w:val="00117C60"/>
    <w:rsid w:val="00285C1E"/>
    <w:rsid w:val="004661AD"/>
    <w:rsid w:val="004F54EC"/>
    <w:rsid w:val="00516286"/>
    <w:rsid w:val="00576F1B"/>
    <w:rsid w:val="00594406"/>
    <w:rsid w:val="005E4653"/>
    <w:rsid w:val="005F02B8"/>
    <w:rsid w:val="00675E17"/>
    <w:rsid w:val="00683AC4"/>
    <w:rsid w:val="006D4E10"/>
    <w:rsid w:val="00772BD7"/>
    <w:rsid w:val="007B552F"/>
    <w:rsid w:val="007D5CD2"/>
    <w:rsid w:val="007F490D"/>
    <w:rsid w:val="00800537"/>
    <w:rsid w:val="008110CC"/>
    <w:rsid w:val="00836BAA"/>
    <w:rsid w:val="00866AD7"/>
    <w:rsid w:val="00875884"/>
    <w:rsid w:val="009C5E0C"/>
    <w:rsid w:val="00A6407F"/>
    <w:rsid w:val="00B240F1"/>
    <w:rsid w:val="00B358C5"/>
    <w:rsid w:val="00C04C9A"/>
    <w:rsid w:val="00CB427A"/>
    <w:rsid w:val="00CB69EC"/>
    <w:rsid w:val="00CD787E"/>
    <w:rsid w:val="00D311FD"/>
    <w:rsid w:val="00D914B5"/>
    <w:rsid w:val="00E53706"/>
    <w:rsid w:val="00F500B9"/>
    <w:rsid w:val="00FC37D3"/>
    <w:rsid w:val="01992CBB"/>
    <w:rsid w:val="022502CD"/>
    <w:rsid w:val="0509472F"/>
    <w:rsid w:val="05EB1609"/>
    <w:rsid w:val="07AE5E5E"/>
    <w:rsid w:val="088E12C8"/>
    <w:rsid w:val="08EE0B31"/>
    <w:rsid w:val="09D26CC5"/>
    <w:rsid w:val="0A326819"/>
    <w:rsid w:val="0CBF216E"/>
    <w:rsid w:val="0EDC287B"/>
    <w:rsid w:val="0FCB58D0"/>
    <w:rsid w:val="108456D0"/>
    <w:rsid w:val="11427CB1"/>
    <w:rsid w:val="12D42267"/>
    <w:rsid w:val="139E3D52"/>
    <w:rsid w:val="146A6978"/>
    <w:rsid w:val="162B4B72"/>
    <w:rsid w:val="17E25AC4"/>
    <w:rsid w:val="18AC060B"/>
    <w:rsid w:val="19076E1D"/>
    <w:rsid w:val="1A7473A5"/>
    <w:rsid w:val="1C372B12"/>
    <w:rsid w:val="1D34735E"/>
    <w:rsid w:val="1D390BBB"/>
    <w:rsid w:val="1EBD751D"/>
    <w:rsid w:val="1F117155"/>
    <w:rsid w:val="204B45CE"/>
    <w:rsid w:val="215A7574"/>
    <w:rsid w:val="21944CC3"/>
    <w:rsid w:val="22DF4A38"/>
    <w:rsid w:val="25705B71"/>
    <w:rsid w:val="25B207B0"/>
    <w:rsid w:val="25FC17B3"/>
    <w:rsid w:val="29EF587A"/>
    <w:rsid w:val="2CF5337D"/>
    <w:rsid w:val="2D2D00F9"/>
    <w:rsid w:val="2DBB222D"/>
    <w:rsid w:val="2E5D3F9C"/>
    <w:rsid w:val="2FDD2CCC"/>
    <w:rsid w:val="30A96F5C"/>
    <w:rsid w:val="30E02F2A"/>
    <w:rsid w:val="31D40AAE"/>
    <w:rsid w:val="34DB0601"/>
    <w:rsid w:val="353165B1"/>
    <w:rsid w:val="381119B2"/>
    <w:rsid w:val="39D6625C"/>
    <w:rsid w:val="3BD871B8"/>
    <w:rsid w:val="3CA901AF"/>
    <w:rsid w:val="3CBC35ED"/>
    <w:rsid w:val="3CF55A87"/>
    <w:rsid w:val="3E3E262A"/>
    <w:rsid w:val="409D702C"/>
    <w:rsid w:val="429A727D"/>
    <w:rsid w:val="4322216B"/>
    <w:rsid w:val="45D67CB6"/>
    <w:rsid w:val="46A03014"/>
    <w:rsid w:val="474B3B16"/>
    <w:rsid w:val="47FA084B"/>
    <w:rsid w:val="48C72496"/>
    <w:rsid w:val="4B205880"/>
    <w:rsid w:val="4C0B38BC"/>
    <w:rsid w:val="4C0B7195"/>
    <w:rsid w:val="4CB7344E"/>
    <w:rsid w:val="4D3B293C"/>
    <w:rsid w:val="4E6C6BE3"/>
    <w:rsid w:val="4ED77806"/>
    <w:rsid w:val="4F0948D4"/>
    <w:rsid w:val="4F764B2C"/>
    <w:rsid w:val="4FB42B6E"/>
    <w:rsid w:val="50C72B5D"/>
    <w:rsid w:val="50D42CCC"/>
    <w:rsid w:val="50DE423D"/>
    <w:rsid w:val="51B40312"/>
    <w:rsid w:val="51F845B8"/>
    <w:rsid w:val="54050F46"/>
    <w:rsid w:val="553A45B9"/>
    <w:rsid w:val="55D86314"/>
    <w:rsid w:val="56623892"/>
    <w:rsid w:val="57CC144D"/>
    <w:rsid w:val="5866730E"/>
    <w:rsid w:val="58AF4FBF"/>
    <w:rsid w:val="59D94BDA"/>
    <w:rsid w:val="5A1D138E"/>
    <w:rsid w:val="5B451FFF"/>
    <w:rsid w:val="5BBA1AB5"/>
    <w:rsid w:val="5DE7552A"/>
    <w:rsid w:val="5ED53471"/>
    <w:rsid w:val="5EE0003E"/>
    <w:rsid w:val="5F050FE7"/>
    <w:rsid w:val="5F38390A"/>
    <w:rsid w:val="629A7316"/>
    <w:rsid w:val="62B20F12"/>
    <w:rsid w:val="641E7445"/>
    <w:rsid w:val="656B0754"/>
    <w:rsid w:val="689A42B6"/>
    <w:rsid w:val="6989215C"/>
    <w:rsid w:val="6C627433"/>
    <w:rsid w:val="6E2D247D"/>
    <w:rsid w:val="6E4022ED"/>
    <w:rsid w:val="6F055AE8"/>
    <w:rsid w:val="704F08F7"/>
    <w:rsid w:val="71452C49"/>
    <w:rsid w:val="73224148"/>
    <w:rsid w:val="740D3209"/>
    <w:rsid w:val="749F0B85"/>
    <w:rsid w:val="772860B1"/>
    <w:rsid w:val="77EF2B74"/>
    <w:rsid w:val="79FD3DAA"/>
    <w:rsid w:val="7A1A07F4"/>
    <w:rsid w:val="7AC64CCA"/>
    <w:rsid w:val="7B0E361F"/>
    <w:rsid w:val="7B4102B0"/>
    <w:rsid w:val="7CED4ECE"/>
    <w:rsid w:val="7F0C59E2"/>
    <w:rsid w:val="7F262DE1"/>
    <w:rsid w:val="7FBE55B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1"/>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rFonts w:hint="eastAsia"/>
      <w:sz w:val="32"/>
    </w:rPr>
  </w:style>
  <w:style w:type="paragraph" w:styleId="5">
    <w:name w:val="Balloon Text"/>
    <w:basedOn w:val="1"/>
    <w:link w:val="13"/>
    <w:semiHidden/>
    <w:unhideWhenUsed/>
    <w:qFormat/>
    <w:uiPriority w:val="99"/>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style>
  <w:style w:type="character" w:customStyle="1" w:styleId="11">
    <w:name w:val="标题 2 Char"/>
    <w:basedOn w:val="9"/>
    <w:link w:val="2"/>
    <w:semiHidden/>
    <w:qFormat/>
    <w:uiPriority w:val="9"/>
    <w:rPr>
      <w:rFonts w:asciiTheme="majorHAnsi" w:hAnsiTheme="majorHAnsi" w:eastAsiaTheme="majorEastAsia" w:cstheme="majorBidi"/>
      <w:b/>
      <w:bCs/>
      <w:sz w:val="32"/>
      <w:szCs w:val="32"/>
    </w:rPr>
  </w:style>
  <w:style w:type="character" w:customStyle="1" w:styleId="12">
    <w:name w:val="页脚 Char"/>
    <w:basedOn w:val="9"/>
    <w:link w:val="6"/>
    <w:semiHidden/>
    <w:qFormat/>
    <w:uiPriority w:val="99"/>
    <w:rPr>
      <w:rFonts w:cs="Calibri"/>
      <w:sz w:val="18"/>
      <w:szCs w:val="18"/>
    </w:rPr>
  </w:style>
  <w:style w:type="character" w:customStyle="1" w:styleId="13">
    <w:name w:val="批注框文本 Char"/>
    <w:basedOn w:val="9"/>
    <w:link w:val="5"/>
    <w:semiHidden/>
    <w:qFormat/>
    <w:uiPriority w:val="99"/>
    <w:rPr>
      <w:rFonts w:ascii="Calibri" w:hAnsi="Calibri" w:cs="Calibri"/>
      <w:kern w:val="2"/>
      <w:sz w:val="18"/>
      <w:szCs w:val="18"/>
    </w:rPr>
  </w:style>
  <w:style w:type="character" w:customStyle="1" w:styleId="14">
    <w:name w:val="页眉 Char"/>
    <w:basedOn w:val="9"/>
    <w:link w:val="7"/>
    <w:semiHidden/>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89F53-8466-407E-A90F-A06015AC2B3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599</Words>
  <Characters>3416</Characters>
  <Lines>28</Lines>
  <Paragraphs>8</Paragraphs>
  <TotalTime>1</TotalTime>
  <ScaleCrop>false</ScaleCrop>
  <LinksUpToDate>false</LinksUpToDate>
  <CharactersWithSpaces>4007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2021-07-16T07:30:00Z</dcterms:created>
  <dc:creator>Administrator</dc:creator>
  <cp:lastModifiedBy>阳咩咩</cp:lastModifiedBy>
  <cp:lastPrinted>2021-05-26T02:23:00Z</cp:lastPrinted>
  <dcterms:modified xsi:type="dcterms:W3CDTF">2021-07-19T01:55:35Z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