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景德镇市渔业渔政局2021年部门预算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景德镇市渔业渔政局概况</w:t>
      </w:r>
    </w:p>
    <w:p>
      <w:pPr>
        <w:ind w:firstLine="640" w:firstLineChars="200"/>
        <w:rPr>
          <w:rFonts w:ascii="仿宋_GB2312" w:hAnsi="宋体" w:eastAsia="仿宋_GB2312" w:cs="仿宋_GB2312"/>
          <w:sz w:val="32"/>
          <w:szCs w:val="32"/>
        </w:rPr>
      </w:pPr>
      <w:r>
        <w:rPr>
          <w:rFonts w:hint="eastAsia" w:ascii="仿宋" w:hAnsi="仿宋" w:eastAsia="仿宋" w:cs="仿宋"/>
          <w:color w:val="333333"/>
          <w:sz w:val="32"/>
          <w:szCs w:val="32"/>
          <w:shd w:val="clear" w:color="auto" w:fill="FFFFFF"/>
        </w:rPr>
        <w:t>  </w:t>
      </w:r>
      <w:r>
        <w:rPr>
          <w:rFonts w:hint="eastAsia" w:ascii="仿宋_GB2312" w:hAnsi="宋体" w:eastAsia="仿宋_GB2312" w:cs="仿宋_GB2312"/>
          <w:sz w:val="32"/>
          <w:szCs w:val="32"/>
        </w:rPr>
        <w:t>一、部门主要职责</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  二、部门机构设置情况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景德镇市渔业渔政局2021年部门预算情况说明</w:t>
      </w:r>
    </w:p>
    <w:p>
      <w:pPr>
        <w:widowControl/>
        <w:shd w:val="clear" w:color="auto" w:fill="FFFFFF"/>
        <w:ind w:firstLine="960"/>
        <w:jc w:val="left"/>
        <w:rPr>
          <w:rFonts w:ascii="仿宋_GB2312" w:hAnsi="微软雅黑" w:eastAsia="仿宋_GB2312" w:cs="仿宋_GB2312"/>
          <w:color w:val="000000"/>
          <w:kern w:val="0"/>
          <w:sz w:val="32"/>
          <w:szCs w:val="32"/>
          <w:shd w:val="clear" w:color="auto" w:fill="FFFFFF"/>
        </w:rPr>
      </w:pPr>
      <w:r>
        <w:rPr>
          <w:rFonts w:ascii="仿宋_GB2312" w:hAnsi="宋体" w:eastAsia="仿宋_GB2312" w:cs="仿宋_GB2312"/>
          <w:sz w:val="32"/>
          <w:szCs w:val="32"/>
        </w:rPr>
        <w:t xml:space="preserve">  </w:t>
      </w:r>
      <w:r>
        <w:rPr>
          <w:rFonts w:ascii="仿宋_GB2312" w:hAnsi="微软雅黑" w:eastAsia="仿宋_GB2312" w:cs="仿宋_GB2312"/>
          <w:color w:val="000000"/>
          <w:kern w:val="0"/>
          <w:sz w:val="32"/>
          <w:szCs w:val="32"/>
          <w:shd w:val="clear" w:color="auto" w:fill="FFFFFF"/>
        </w:rPr>
        <w:t>一、20</w:t>
      </w:r>
      <w:r>
        <w:rPr>
          <w:rFonts w:hint="eastAsia" w:ascii="仿宋_GB2312" w:hAnsi="微软雅黑" w:eastAsia="仿宋_GB2312" w:cs="仿宋_GB2312"/>
          <w:color w:val="000000"/>
          <w:kern w:val="0"/>
          <w:sz w:val="32"/>
          <w:szCs w:val="32"/>
          <w:shd w:val="clear" w:color="auto" w:fill="FFFFFF"/>
        </w:rPr>
        <w:t>21</w:t>
      </w:r>
      <w:r>
        <w:rPr>
          <w:rFonts w:ascii="仿宋_GB2312" w:hAnsi="微软雅黑" w:eastAsia="仿宋_GB2312" w:cs="仿宋_GB2312"/>
          <w:color w:val="000000"/>
          <w:kern w:val="0"/>
          <w:sz w:val="32"/>
          <w:szCs w:val="32"/>
          <w:shd w:val="clear" w:color="auto" w:fill="FFFFFF"/>
        </w:rPr>
        <w:t>年部门预算收支情况说明</w:t>
      </w:r>
    </w:p>
    <w:p>
      <w:pPr>
        <w:widowControl/>
        <w:shd w:val="clear" w:color="auto" w:fill="FFFFFF"/>
        <w:ind w:firstLine="96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1、预算收入情况说明</w:t>
      </w:r>
    </w:p>
    <w:p>
      <w:pPr>
        <w:widowControl/>
        <w:shd w:val="clear" w:color="auto" w:fill="FFFFFF"/>
        <w:ind w:firstLine="96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2、预算支出情况说明</w:t>
      </w:r>
    </w:p>
    <w:p>
      <w:pPr>
        <w:widowControl/>
        <w:shd w:val="clear" w:color="auto" w:fill="FFFFFF"/>
        <w:ind w:left="96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3、经费拨款情况说明</w:t>
      </w:r>
    </w:p>
    <w:p>
      <w:pPr>
        <w:widowControl/>
        <w:shd w:val="clear" w:color="auto" w:fill="FFFFFF"/>
        <w:ind w:left="96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4、政府采购安排情况说明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5、政府性基金收支情况说明</w:t>
      </w:r>
    </w:p>
    <w:p>
      <w:pPr>
        <w:widowControl/>
        <w:shd w:val="clear" w:color="auto" w:fill="FFFFFF"/>
        <w:ind w:left="96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6、机关运行经费情况说明</w:t>
      </w:r>
    </w:p>
    <w:p>
      <w:pPr>
        <w:widowControl/>
        <w:shd w:val="clear" w:color="auto" w:fill="FFFFFF"/>
        <w:ind w:firstLine="1280" w:firstLineChars="40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7、</w:t>
      </w:r>
      <w:r>
        <w:rPr>
          <w:rFonts w:ascii="仿宋_GB2312" w:hAnsi="微软雅黑" w:eastAsia="仿宋_GB2312" w:cs="仿宋_GB2312"/>
          <w:color w:val="000000"/>
          <w:kern w:val="0"/>
          <w:sz w:val="32"/>
          <w:szCs w:val="32"/>
          <w:shd w:val="clear" w:color="auto" w:fill="FFFFFF"/>
        </w:rPr>
        <w:t>国有资产占用情况说明</w:t>
      </w:r>
    </w:p>
    <w:p>
      <w:pPr>
        <w:widowControl/>
        <w:shd w:val="clear" w:color="auto" w:fill="FFFFFF"/>
        <w:ind w:firstLine="1280" w:firstLineChars="400"/>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8、</w:t>
      </w:r>
      <w:r>
        <w:rPr>
          <w:rFonts w:ascii="仿宋_GB2312" w:hAnsi="微软雅黑" w:eastAsia="仿宋_GB2312" w:cs="仿宋_GB2312"/>
          <w:color w:val="000000"/>
          <w:kern w:val="0"/>
          <w:sz w:val="32"/>
          <w:szCs w:val="32"/>
          <w:shd w:val="clear" w:color="auto" w:fill="FFFFFF"/>
        </w:rPr>
        <w:t>预算绩效情况说明</w:t>
      </w:r>
    </w:p>
    <w:p>
      <w:pPr>
        <w:widowControl/>
        <w:shd w:val="clear" w:color="auto" w:fill="FFFFFF"/>
        <w:ind w:firstLine="960"/>
        <w:jc w:val="left"/>
        <w:rPr>
          <w:rFonts w:ascii="仿宋_GB2312" w:eastAsia="仿宋_GB2312" w:cs="Times New Roman"/>
          <w:sz w:val="32"/>
          <w:szCs w:val="32"/>
        </w:rPr>
      </w:pPr>
      <w:r>
        <w:rPr>
          <w:rFonts w:ascii="仿宋_GB2312" w:hAnsi="微软雅黑" w:eastAsia="仿宋_GB2312" w:cs="仿宋_GB2312"/>
          <w:color w:val="000000"/>
          <w:kern w:val="0"/>
          <w:sz w:val="32"/>
          <w:szCs w:val="32"/>
          <w:shd w:val="clear" w:color="auto" w:fill="FFFFFF"/>
        </w:rPr>
        <w:t>二、20</w:t>
      </w:r>
      <w:r>
        <w:rPr>
          <w:rFonts w:hint="eastAsia" w:ascii="仿宋_GB2312" w:hAnsi="微软雅黑" w:eastAsia="仿宋_GB2312" w:cs="仿宋_GB2312"/>
          <w:color w:val="000000"/>
          <w:kern w:val="0"/>
          <w:sz w:val="32"/>
          <w:szCs w:val="32"/>
          <w:shd w:val="clear" w:color="auto" w:fill="FFFFFF"/>
        </w:rPr>
        <w:t>21</w:t>
      </w:r>
      <w:r>
        <w:rPr>
          <w:rFonts w:ascii="仿宋_GB2312" w:hAnsi="微软雅黑" w:eastAsia="仿宋_GB2312" w:cs="仿宋_GB2312"/>
          <w:color w:val="000000"/>
          <w:kern w:val="0"/>
          <w:sz w:val="32"/>
          <w:szCs w:val="32"/>
          <w:shd w:val="clear" w:color="auto" w:fill="FFFFFF"/>
        </w:rPr>
        <w:t>年</w:t>
      </w:r>
      <w:r>
        <w:rPr>
          <w:rFonts w:hint="eastAsia" w:ascii="仿宋_GB2312" w:hAnsi="微软雅黑" w:eastAsia="仿宋_GB2312" w:cs="仿宋_GB2312"/>
          <w:color w:val="000000"/>
          <w:kern w:val="0"/>
          <w:sz w:val="32"/>
          <w:szCs w:val="32"/>
          <w:shd w:val="clear" w:color="auto" w:fill="FFFFFF"/>
        </w:rPr>
        <w:t>“</w:t>
      </w:r>
      <w:r>
        <w:rPr>
          <w:rFonts w:ascii="仿宋_GB2312" w:hAnsi="微软雅黑" w:eastAsia="仿宋_GB2312" w:cs="仿宋_GB2312"/>
          <w:color w:val="000000"/>
          <w:kern w:val="0"/>
          <w:sz w:val="32"/>
          <w:szCs w:val="32"/>
          <w:shd w:val="clear" w:color="auto" w:fill="FFFFFF"/>
        </w:rPr>
        <w:t>三公</w:t>
      </w:r>
      <w:r>
        <w:rPr>
          <w:rFonts w:hint="eastAsia" w:ascii="仿宋_GB2312" w:hAnsi="微软雅黑" w:eastAsia="仿宋_GB2312" w:cs="仿宋_GB2312"/>
          <w:color w:val="000000"/>
          <w:kern w:val="0"/>
          <w:sz w:val="32"/>
          <w:szCs w:val="32"/>
          <w:shd w:val="clear" w:color="auto" w:fill="FFFFFF"/>
        </w:rPr>
        <w:t>”</w:t>
      </w:r>
      <w:r>
        <w:rPr>
          <w:rFonts w:ascii="仿宋_GB2312" w:hAnsi="微软雅黑" w:eastAsia="仿宋_GB2312" w:cs="仿宋_GB2312"/>
          <w:color w:val="000000"/>
          <w:kern w:val="0"/>
          <w:sz w:val="32"/>
          <w:szCs w:val="32"/>
          <w:shd w:val="clear" w:color="auto" w:fill="FFFFFF"/>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渔业渔政局2021年部门预算表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九、《部门整体绩效目标表》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十、《一级项目绩效目标表》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景德镇市渔业渔政局概况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ind w:firstLine="640" w:firstLineChars="200"/>
        <w:rPr>
          <w:rFonts w:ascii="仿宋_GB2312" w:eastAsia="仿宋_GB2312" w:cs="Times New Roman"/>
          <w:sz w:val="32"/>
          <w:szCs w:val="32"/>
        </w:rPr>
      </w:pPr>
      <w:r>
        <w:rPr>
          <w:rFonts w:hint="eastAsia" w:ascii="仿宋_GB2312" w:hAnsi="宋体" w:eastAsia="仿宋_GB2312" w:cs="仿宋_GB2312"/>
          <w:bCs/>
          <w:sz w:val="32"/>
          <w:szCs w:val="32"/>
        </w:rPr>
        <w:t>景德镇市渔业渔政</w:t>
      </w:r>
      <w:r>
        <w:rPr>
          <w:rFonts w:hint="eastAsia" w:ascii="仿宋_GB2312" w:hAnsi="宋体" w:eastAsia="仿宋_GB2312" w:cs="仿宋_GB2312"/>
          <w:sz w:val="32"/>
          <w:szCs w:val="32"/>
        </w:rPr>
        <w:t>局是市农业农村下属机构，主要从事全市渔业法、渔船检验、渔船船用产品检验，水生野生动物保护工作；负责全市水产品质量安全、渔业水域污染管理、水产苗种管理，水产技术推广工作。</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渔业渔政局属农业农村局下属预算单位。编制数为8人，其中行政编制0人、全额补助事业编制8人、部分补助事业编制0人、自收自支事业编制0人；实有人数7人，其中在职人数为7人，包括行政人员0人、全额补助事业人员7人、部分补助事业编人员0人、自收自支事业人员0人；离休人员0人；退休人员4人。在校学生0人，其中：高等学校0人、中等专业学校0人，其他0人。</w:t>
      </w:r>
    </w:p>
    <w:p>
      <w:pPr>
        <w:ind w:firstLine="640" w:firstLineChars="200"/>
        <w:rPr>
          <w:rFonts w:ascii="仿宋_GB2312" w:hAnsi="宋体" w:eastAsia="仿宋_GB2312" w:cs="仿宋_GB2312"/>
          <w:sz w:val="32"/>
          <w:szCs w:val="32"/>
        </w:rPr>
      </w:pPr>
    </w:p>
    <w:p>
      <w:pPr>
        <w:rPr>
          <w:rFonts w:ascii="黑体" w:hAnsi="宋体" w:eastAsia="黑体" w:cs="Times New Roman"/>
          <w:sz w:val="32"/>
          <w:szCs w:val="32"/>
        </w:rPr>
      </w:pPr>
      <w:r>
        <w:rPr>
          <w:rFonts w:hint="eastAsia" w:ascii="黑体" w:hAnsi="宋体" w:eastAsia="黑体" w:cs="黑体"/>
          <w:sz w:val="32"/>
          <w:szCs w:val="32"/>
        </w:rPr>
        <w:t>第二部分 景德镇市渔业渔政局2021年部门预算情况说明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一、2021年部门预算收支情况说明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2021年渔业渔政局收入预算总额为145万元，与上年预算相比增加24.36万元，主要原因：人员经费增加。其中：当年公共财政拨款收入125万元，占收入预算总额的86.21</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；政府性基金拨款收入0万元，占收入预算总额的0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；事业收入0万元，占收入预算总额的0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；事业单位经营收入0万元，占收入预算总额的0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；当年其他各项收入0万元，占收入预算总额的0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；上年结余结转收入41.70万元，占收入预算总额的28.76</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482" w:firstLineChars="150"/>
        <w:rPr>
          <w:rFonts w:ascii="仿宋_GB2312" w:eastAsia="仿宋_GB2312" w:cs="Times New Roman"/>
          <w:sz w:val="32"/>
          <w:szCs w:val="32"/>
        </w:rPr>
      </w:pPr>
      <w:r>
        <w:rPr>
          <w:rFonts w:ascii="仿宋_GB2312" w:hAnsi="宋体" w:eastAsia="仿宋_GB2312" w:cs="仿宋_GB2312"/>
          <w:b/>
          <w:bCs/>
          <w:sz w:val="32"/>
          <w:szCs w:val="32"/>
        </w:rPr>
        <w:t xml:space="preserve"> </w:t>
      </w:r>
      <w:r>
        <w:rPr>
          <w:rFonts w:hint="eastAsia" w:ascii="仿宋_GB2312" w:hAnsi="宋体" w:eastAsia="仿宋_GB2312" w:cs="仿宋_GB2312"/>
          <w:sz w:val="32"/>
          <w:szCs w:val="32"/>
        </w:rPr>
        <w:t>2021年渔业渔政局支出预算总额为145万元，与上年预算相比增加24.36万元，主要由于2020年年初预算未包含人员经费增加、职工养老</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医疗</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公积金调整等支出。其中：按支出项目类别划分：基本支出125万元，占支出预算总额的86.21</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，包括工资福利支出75万元、商品和服务支出14.60万元、对个人和家庭的补助35.40万元、其他资本性支出0万元；项目支出20万元，占支出总额的13.79</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，包括工资福利支出0万元、商品和服务支出20万元、对个人和家庭的补助0万元、债务利息支出0万元、基本建设支出0万元、其他资本性支出0万元、其他相关支出0万元；事业经营支出0万元，占支出预算总额的0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；对附属单位补助支出的0万元，占支出预算总额的0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；上缴上级支出0万元，占支出预算总额的0</w:t>
      </w:r>
      <w:r>
        <w:rPr>
          <w:rFonts w:ascii="仿宋_GB2312" w:hAnsi="宋体" w:eastAsia="仿宋_GB2312" w:cs="仿宋_GB2312"/>
          <w:sz w:val="32"/>
          <w:szCs w:val="32"/>
        </w:rPr>
        <w:t>%</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按支出功能项目科目划分：社会保障和就业支出8.03万元，占支出预算总额的5.54%；卫生健康支出6.98万元，占支出预算总额的4.81%；农林水支出123.97万元，占支出预算总额的85.50%；住房保障支出6.02万元，占支出预算总额的4.15%。</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按支出经济分类划分：工资福利支出75万元，占支出预算总额的51.72%；商品和服务支出14.60万元，占支出预算总额的10.07%；对个人和家庭的补助35.40万元，占支出预算总额的24.41%；资本性支出0万元，占支出预算总额的0%；对企业补助0万元，占支出预算总额的0%。</w:t>
      </w:r>
    </w:p>
    <w:p>
      <w:pPr>
        <w:ind w:firstLine="643" w:firstLineChars="200"/>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spacing w:line="560" w:lineRule="exact"/>
        <w:ind w:firstLine="800" w:firstLineChars="250"/>
        <w:rPr>
          <w:rFonts w:ascii="仿宋_GB2312" w:hAnsi="宋体" w:eastAsia="仿宋_GB2312" w:cs="仿宋_GB2312"/>
          <w:sz w:val="32"/>
          <w:szCs w:val="32"/>
        </w:rPr>
      </w:pPr>
      <w:r>
        <w:rPr>
          <w:rFonts w:hint="eastAsia" w:ascii="仿宋_GB2312" w:hAnsi="宋体" w:eastAsia="仿宋_GB2312" w:cs="仿宋_GB2312"/>
          <w:sz w:val="32"/>
          <w:szCs w:val="32"/>
        </w:rPr>
        <w:t>2021年景德镇市渔业渔政局财政拨款支出预算103.3万元，占支出预算总额的71.24%，与上年预算相比增加万</w:t>
      </w:r>
    </w:p>
    <w:p>
      <w:pPr>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1.1万元，主要由于2020年市渔业渔政局年初预算未包含职工养老医疗公积金调整等支出。具体支出情况是：社会保障和就业支出8.03万元，占财政拨款支出7.77%；卫生健康支出6.98万元，占财政拨款支出6.76%；农林水支出123.97万元，占财政拨款支出120%；住房保障支出6.02万元，占财政拨款支出5.83%。</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2021年景德镇市渔业渔政局无政府采购预算。</w:t>
      </w:r>
    </w:p>
    <w:p>
      <w:pPr>
        <w:tabs>
          <w:tab w:val="left" w:pos="1162"/>
        </w:tabs>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2021年景德镇市渔业渔政局无政府基金收支预算。</w:t>
      </w:r>
    </w:p>
    <w:p>
      <w:pPr>
        <w:tabs>
          <w:tab w:val="left" w:pos="1113"/>
        </w:tabs>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2021年市渔业渔政局“三公”经费年初预算安排8.49万元。其中：因公出国（境）费0万元，比上年增（减）0万元。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公务接待费3.90万元，比上年增加0.84万元，主要原因：新增项目。</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公务用车运行维护费4.59万元，比上年增加2.14万元，主要原因：</w:t>
      </w:r>
      <w:r>
        <w:rPr>
          <w:rFonts w:hint="eastAsia" w:ascii="仿宋_GB2312" w:eastAsia="仿宋_GB2312" w:cs="仿宋_GB2312"/>
          <w:sz w:val="32"/>
          <w:szCs w:val="32"/>
        </w:rPr>
        <w:t>公车维修增加</w:t>
      </w:r>
      <w:r>
        <w:rPr>
          <w:rFonts w:hint="eastAsia" w:ascii="仿宋_GB2312" w:hAnsi="宋体" w:eastAsia="仿宋_GB2312" w:cs="仿宋_GB2312"/>
          <w:sz w:val="32"/>
          <w:szCs w:val="32"/>
        </w:rPr>
        <w:t>。</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公务用车购置费0万元，比上年增（减）0万元。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r>
        <w:rPr>
          <w:rFonts w:hint="eastAsia" w:ascii="仿宋_GB2312" w:eastAsia="仿宋_GB2312"/>
          <w:color w:val="000000"/>
          <w:sz w:val="32"/>
          <w:szCs w:val="30"/>
        </w:rPr>
        <w:t>。</w:t>
      </w:r>
      <w:r>
        <w:rPr>
          <w:rFonts w:ascii="仿宋_GB2312" w:eastAsia="仿宋_GB2312"/>
          <w:color w:val="000000"/>
          <w:sz w:val="32"/>
          <w:szCs w:val="30"/>
        </w:rPr>
        <w:t xml:space="preserve"> </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eastAsia="仿宋_GB2312"/>
          <w:b/>
          <w:bCs/>
          <w:color w:val="000000"/>
          <w:sz w:val="32"/>
          <w:szCs w:val="30"/>
        </w:rPr>
        <w:t>一级</w:t>
      </w:r>
      <w:r>
        <w:rPr>
          <w:rFonts w:hint="eastAsia" w:ascii="仿宋_GB2312" w:eastAsia="仿宋_GB2312"/>
          <w:b/>
          <w:color w:val="000000"/>
          <w:sz w:val="32"/>
          <w:szCs w:val="30"/>
        </w:rPr>
        <w:t>项目绩效目标设置情况</w:t>
      </w:r>
    </w:p>
    <w:p>
      <w:pPr>
        <w:widowControl/>
        <w:spacing w:line="600" w:lineRule="exact"/>
        <w:ind w:firstLine="64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2021年实行绩效目标管理的一级项目</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个，涉及资金20万元。</w:t>
      </w:r>
      <w:r>
        <w:rPr>
          <w:rFonts w:hint="eastAsia" w:ascii="仿宋_GB2312" w:eastAsia="仿宋_GB2312"/>
          <w:color w:val="000000"/>
          <w:sz w:val="32"/>
          <w:szCs w:val="30"/>
          <w:lang w:eastAsia="zh-CN"/>
        </w:rPr>
        <w:t>其中：二级项目</w:t>
      </w:r>
      <w:r>
        <w:rPr>
          <w:rFonts w:hint="eastAsia" w:ascii="仿宋_GB2312" w:eastAsia="仿宋_GB2312"/>
          <w:color w:val="000000"/>
          <w:sz w:val="32"/>
          <w:szCs w:val="30"/>
          <w:lang w:val="en-US" w:eastAsia="zh-CN"/>
        </w:rPr>
        <w:t>2个，涉及资金20万元。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eastAsia="仿宋_GB2312"/>
          <w:b/>
          <w:color w:val="000000"/>
          <w:sz w:val="32"/>
          <w:szCs w:val="30"/>
        </w:rPr>
        <w:t>（九）景德镇市渔业渔政局一级项目中各二级项目情况说明</w:t>
      </w:r>
    </w:p>
    <w:tbl>
      <w:tblPr>
        <w:tblStyle w:val="7"/>
        <w:tblW w:w="9220" w:type="dxa"/>
        <w:tblInd w:w="94" w:type="dxa"/>
        <w:tblLayout w:type="autofit"/>
        <w:tblCellMar>
          <w:top w:w="0" w:type="dxa"/>
          <w:left w:w="108" w:type="dxa"/>
          <w:bottom w:w="0" w:type="dxa"/>
          <w:right w:w="108" w:type="dxa"/>
        </w:tblCellMar>
      </w:tblPr>
      <w:tblGrid>
        <w:gridCol w:w="960"/>
        <w:gridCol w:w="960"/>
        <w:gridCol w:w="1920"/>
        <w:gridCol w:w="960"/>
        <w:gridCol w:w="960"/>
        <w:gridCol w:w="960"/>
        <w:gridCol w:w="960"/>
        <w:gridCol w:w="1540"/>
      </w:tblGrid>
      <w:tr>
        <w:tblPrEx>
          <w:tblCellMar>
            <w:top w:w="0" w:type="dxa"/>
            <w:left w:w="108" w:type="dxa"/>
            <w:bottom w:w="0" w:type="dxa"/>
            <w:right w:w="108" w:type="dxa"/>
          </w:tblCellMar>
        </w:tblPrEx>
        <w:trPr>
          <w:trHeight w:val="660" w:hRule="atLeast"/>
        </w:trPr>
        <w:tc>
          <w:tcPr>
            <w:tcW w:w="9220" w:type="dxa"/>
            <w:gridSpan w:val="8"/>
            <w:tcBorders>
              <w:top w:val="nil"/>
              <w:left w:val="nil"/>
              <w:bottom w:val="nil"/>
              <w:right w:val="nil"/>
            </w:tcBorders>
            <w:shd w:val="clear" w:color="auto" w:fill="auto"/>
            <w:vAlign w:val="center"/>
          </w:tcPr>
          <w:p>
            <w:pPr>
              <w:widowControl/>
              <w:jc w:val="center"/>
              <w:rPr>
                <w:rFonts w:ascii="宋体" w:hAnsi="宋体" w:cs="Arial"/>
                <w:b/>
                <w:bCs/>
                <w:color w:val="000000"/>
                <w:kern w:val="0"/>
                <w:sz w:val="32"/>
                <w:szCs w:val="32"/>
              </w:rPr>
            </w:pPr>
            <w:r>
              <w:rPr>
                <w:rFonts w:hint="eastAsia" w:ascii="宋体" w:hAnsi="宋体" w:cs="Arial"/>
                <w:b/>
                <w:bCs/>
                <w:color w:val="000000"/>
                <w:kern w:val="0"/>
                <w:sz w:val="32"/>
                <w:szCs w:val="32"/>
              </w:rPr>
              <w:t>景德镇市</w:t>
            </w:r>
            <w:r>
              <w:rPr>
                <w:rFonts w:hint="eastAsia" w:ascii="宋体" w:hAnsi="宋体" w:cs="Arial"/>
                <w:b/>
                <w:bCs/>
                <w:color w:val="000000"/>
                <w:kern w:val="0"/>
                <w:sz w:val="32"/>
                <w:szCs w:val="32"/>
                <w:lang w:eastAsia="zh-CN"/>
              </w:rPr>
              <w:t>渔业渔政局二</w:t>
            </w:r>
            <w:r>
              <w:rPr>
                <w:rFonts w:hint="eastAsia" w:ascii="宋体" w:hAnsi="宋体" w:cs="Arial"/>
                <w:b/>
                <w:bCs/>
                <w:color w:val="000000"/>
                <w:kern w:val="0"/>
                <w:sz w:val="32"/>
                <w:szCs w:val="32"/>
              </w:rPr>
              <w:t>级项目绩效目标表</w:t>
            </w:r>
          </w:p>
        </w:tc>
      </w:tr>
      <w:tr>
        <w:tblPrEx>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tcPr>
          <w:p>
            <w:pPr>
              <w:widowControl/>
              <w:rPr>
                <w:rFonts w:cs="Arial"/>
                <w:color w:val="000000"/>
                <w:kern w:val="0"/>
              </w:rPr>
            </w:pPr>
          </w:p>
        </w:tc>
        <w:tc>
          <w:tcPr>
            <w:tcW w:w="960" w:type="dxa"/>
            <w:tcBorders>
              <w:top w:val="nil"/>
              <w:left w:val="nil"/>
              <w:bottom w:val="nil"/>
              <w:right w:val="nil"/>
            </w:tcBorders>
            <w:shd w:val="clear" w:color="auto" w:fill="auto"/>
          </w:tcPr>
          <w:p>
            <w:pPr>
              <w:widowControl/>
              <w:rPr>
                <w:rFonts w:cs="Arial"/>
                <w:color w:val="000000"/>
                <w:kern w:val="0"/>
              </w:rPr>
            </w:pPr>
          </w:p>
        </w:tc>
        <w:tc>
          <w:tcPr>
            <w:tcW w:w="1920" w:type="dxa"/>
            <w:tcBorders>
              <w:top w:val="nil"/>
              <w:left w:val="nil"/>
              <w:bottom w:val="single" w:color="auto" w:sz="4" w:space="0"/>
              <w:right w:val="nil"/>
            </w:tcBorders>
            <w:shd w:val="clear" w:color="auto" w:fill="auto"/>
          </w:tcPr>
          <w:p>
            <w:pPr>
              <w:widowControl/>
              <w:rPr>
                <w:rFonts w:cs="Arial"/>
                <w:color w:val="000000"/>
                <w:kern w:val="0"/>
              </w:rPr>
            </w:pPr>
            <w:r>
              <w:rPr>
                <w:rFonts w:cs="Arial"/>
                <w:color w:val="000000"/>
                <w:kern w:val="0"/>
              </w:rPr>
              <w:t>　</w:t>
            </w:r>
          </w:p>
        </w:tc>
        <w:tc>
          <w:tcPr>
            <w:tcW w:w="2880" w:type="dxa"/>
            <w:gridSpan w:val="3"/>
            <w:tcBorders>
              <w:top w:val="nil"/>
              <w:left w:val="nil"/>
              <w:bottom w:val="nil"/>
              <w:right w:val="nil"/>
            </w:tcBorders>
            <w:shd w:val="clear" w:color="auto" w:fill="auto"/>
          </w:tcPr>
          <w:p>
            <w:pPr>
              <w:widowControl/>
              <w:rPr>
                <w:rFonts w:cs="Arial"/>
                <w:color w:val="000000"/>
                <w:kern w:val="0"/>
              </w:rPr>
            </w:pPr>
          </w:p>
        </w:tc>
        <w:tc>
          <w:tcPr>
            <w:tcW w:w="2500" w:type="dxa"/>
            <w:gridSpan w:val="2"/>
            <w:tcBorders>
              <w:top w:val="nil"/>
              <w:left w:val="nil"/>
              <w:bottom w:val="nil"/>
              <w:right w:val="nil"/>
            </w:tcBorders>
            <w:shd w:val="clear" w:color="auto" w:fill="auto"/>
          </w:tcPr>
          <w:p>
            <w:pPr>
              <w:widowControl/>
              <w:rPr>
                <w:rFonts w:cs="Arial"/>
                <w:color w:val="000000"/>
                <w:kern w:val="0"/>
              </w:rPr>
            </w:pPr>
          </w:p>
        </w:tc>
      </w:tr>
      <w:tr>
        <w:tblPrEx>
          <w:tblCellMar>
            <w:top w:w="0" w:type="dxa"/>
            <w:left w:w="108" w:type="dxa"/>
            <w:bottom w:w="0" w:type="dxa"/>
            <w:right w:w="108" w:type="dxa"/>
          </w:tblCellMar>
        </w:tblPrEx>
        <w:trPr>
          <w:trHeight w:val="660" w:hRule="atLeast"/>
        </w:trPr>
        <w:tc>
          <w:tcPr>
            <w:tcW w:w="192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项目名称</w:t>
            </w:r>
          </w:p>
        </w:tc>
        <w:tc>
          <w:tcPr>
            <w:tcW w:w="730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渔政执法监督工作经费</w:t>
            </w:r>
          </w:p>
        </w:tc>
      </w:tr>
      <w:tr>
        <w:tblPrEx>
          <w:tblCellMar>
            <w:top w:w="0" w:type="dxa"/>
            <w:left w:w="108" w:type="dxa"/>
            <w:bottom w:w="0" w:type="dxa"/>
            <w:right w:w="108" w:type="dxa"/>
          </w:tblCellMar>
        </w:tblPrEx>
        <w:trPr>
          <w:trHeight w:val="660" w:hRule="atLeast"/>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主管部门及代码</w:t>
            </w:r>
          </w:p>
        </w:tc>
        <w:tc>
          <w:tcPr>
            <w:tcW w:w="288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景德镇市农业农村局301001</w:t>
            </w:r>
          </w:p>
        </w:tc>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实施单位</w:t>
            </w:r>
          </w:p>
        </w:tc>
        <w:tc>
          <w:tcPr>
            <w:tcW w:w="34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景德镇市渔业渔政局</w:t>
            </w:r>
          </w:p>
        </w:tc>
      </w:tr>
      <w:tr>
        <w:tblPrEx>
          <w:tblCellMar>
            <w:top w:w="0" w:type="dxa"/>
            <w:left w:w="108" w:type="dxa"/>
            <w:bottom w:w="0" w:type="dxa"/>
            <w:right w:w="108" w:type="dxa"/>
          </w:tblCellMar>
        </w:tblPrEx>
        <w:trPr>
          <w:trHeight w:val="660" w:hRule="atLeast"/>
        </w:trPr>
        <w:tc>
          <w:tcPr>
            <w:tcW w:w="19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项目资金(万元)</w:t>
            </w:r>
          </w:p>
        </w:tc>
        <w:tc>
          <w:tcPr>
            <w:tcW w:w="1920"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xml:space="preserve">年度资金总额      </w:t>
            </w:r>
          </w:p>
        </w:tc>
        <w:tc>
          <w:tcPr>
            <w:tcW w:w="53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color w:val="000000"/>
                <w:kern w:val="0"/>
                <w:sz w:val="22"/>
                <w:szCs w:val="22"/>
              </w:rPr>
            </w:pPr>
          </w:p>
        </w:tc>
        <w:tc>
          <w:tcPr>
            <w:tcW w:w="1920"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xml:space="preserve">                                       其中:财政拨款</w:t>
            </w:r>
          </w:p>
        </w:tc>
        <w:tc>
          <w:tcPr>
            <w:tcW w:w="53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color w:val="000000"/>
                <w:kern w:val="0"/>
                <w:sz w:val="22"/>
                <w:szCs w:val="22"/>
              </w:rPr>
            </w:pPr>
          </w:p>
        </w:tc>
        <w:tc>
          <w:tcPr>
            <w:tcW w:w="1920"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xml:space="preserve">                                            其他资金</w:t>
            </w:r>
          </w:p>
        </w:tc>
        <w:tc>
          <w:tcPr>
            <w:tcW w:w="53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0</w:t>
            </w:r>
          </w:p>
        </w:tc>
      </w:tr>
      <w:tr>
        <w:tblPrEx>
          <w:tblCellMar>
            <w:top w:w="0" w:type="dxa"/>
            <w:left w:w="108" w:type="dxa"/>
            <w:bottom w:w="0" w:type="dxa"/>
            <w:right w:w="108" w:type="dxa"/>
          </w:tblCellMar>
        </w:tblPrEx>
        <w:trPr>
          <w:trHeight w:val="660" w:hRule="atLeast"/>
        </w:trPr>
        <w:tc>
          <w:tcPr>
            <w:tcW w:w="922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年度绩效目标</w:t>
            </w:r>
          </w:p>
        </w:tc>
      </w:tr>
      <w:tr>
        <w:tblPrEx>
          <w:tblCellMar>
            <w:top w:w="0" w:type="dxa"/>
            <w:left w:w="108" w:type="dxa"/>
            <w:bottom w:w="0" w:type="dxa"/>
            <w:right w:w="108" w:type="dxa"/>
          </w:tblCellMar>
        </w:tblPrEx>
        <w:trPr>
          <w:trHeight w:val="1020" w:hRule="atLeast"/>
        </w:trPr>
        <w:tc>
          <w:tcPr>
            <w:tcW w:w="922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开展渔政执法监管，保护水生生态环境</w:t>
            </w:r>
          </w:p>
        </w:tc>
      </w:tr>
      <w:tr>
        <w:tblPrEx>
          <w:tblCellMar>
            <w:top w:w="0" w:type="dxa"/>
            <w:left w:w="108" w:type="dxa"/>
            <w:bottom w:w="0" w:type="dxa"/>
            <w:right w:w="108" w:type="dxa"/>
          </w:tblCellMar>
        </w:tblPrEx>
        <w:trPr>
          <w:trHeight w:val="60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一级指标</w:t>
            </w:r>
          </w:p>
        </w:tc>
        <w:tc>
          <w:tcPr>
            <w:tcW w:w="9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二级指标</w:t>
            </w:r>
          </w:p>
        </w:tc>
        <w:tc>
          <w:tcPr>
            <w:tcW w:w="5760" w:type="dxa"/>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三级指标</w:t>
            </w:r>
          </w:p>
        </w:tc>
        <w:tc>
          <w:tcPr>
            <w:tcW w:w="15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指标值</w:t>
            </w:r>
          </w:p>
        </w:tc>
      </w:tr>
      <w:tr>
        <w:tblPrEx>
          <w:tblCellMar>
            <w:top w:w="0" w:type="dxa"/>
            <w:left w:w="108" w:type="dxa"/>
            <w:bottom w:w="0" w:type="dxa"/>
            <w:right w:w="108" w:type="dxa"/>
          </w:tblCellMar>
        </w:tblPrEx>
        <w:trPr>
          <w:trHeight w:val="600" w:hRule="atLeast"/>
        </w:trPr>
        <w:tc>
          <w:tcPr>
            <w:tcW w:w="9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产出指标</w:t>
            </w:r>
          </w:p>
        </w:tc>
        <w:tc>
          <w:tcPr>
            <w:tcW w:w="9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数量指标</w:t>
            </w: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渔政执法监管</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30次</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渔政执法宣传</w:t>
            </w:r>
          </w:p>
        </w:tc>
        <w:tc>
          <w:tcPr>
            <w:tcW w:w="15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50次</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15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15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restart"/>
            <w:tcBorders>
              <w:top w:val="single" w:color="auto" w:sz="4" w:space="0"/>
              <w:left w:val="single" w:color="auto" w:sz="4" w:space="0"/>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质量指标</w:t>
            </w: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渔政执法监管有效率</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100%</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时效指标</w:t>
            </w: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渔政执法监管及时率</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100%</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成本指标</w:t>
            </w: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资金利用率</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100%</w:t>
            </w:r>
          </w:p>
        </w:tc>
      </w:tr>
      <w:tr>
        <w:tblPrEx>
          <w:tblCellMar>
            <w:top w:w="0" w:type="dxa"/>
            <w:left w:w="108" w:type="dxa"/>
            <w:bottom w:w="0" w:type="dxa"/>
            <w:right w:w="108" w:type="dxa"/>
          </w:tblCellMar>
        </w:tblPrEx>
        <w:trPr>
          <w:trHeight w:val="600" w:hRule="atLeast"/>
        </w:trPr>
        <w:tc>
          <w:tcPr>
            <w:tcW w:w="960" w:type="dxa"/>
            <w:vMerge w:val="restart"/>
            <w:tcBorders>
              <w:top w:val="single" w:color="auto" w:sz="4" w:space="0"/>
              <w:left w:val="single" w:color="auto" w:sz="4" w:space="0"/>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效益指标</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经济效益指标</w:t>
            </w: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水生生物保护</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100%</w:t>
            </w:r>
          </w:p>
        </w:tc>
      </w:tr>
      <w:tr>
        <w:tblPrEx>
          <w:tblCellMar>
            <w:top w:w="0" w:type="dxa"/>
            <w:left w:w="108" w:type="dxa"/>
            <w:bottom w:w="0" w:type="dxa"/>
            <w:right w:w="108" w:type="dxa"/>
          </w:tblCellMar>
        </w:tblPrEx>
        <w:trPr>
          <w:trHeight w:val="600" w:hRule="atLeast"/>
        </w:trPr>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kern w:val="0"/>
                <w:sz w:val="22"/>
                <w:szCs w:val="22"/>
              </w:rPr>
            </w:pP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r>
      <w:tr>
        <w:tblPrEx>
          <w:tblCellMar>
            <w:top w:w="0" w:type="dxa"/>
            <w:left w:w="108" w:type="dxa"/>
            <w:bottom w:w="0" w:type="dxa"/>
            <w:right w:w="108" w:type="dxa"/>
          </w:tblCellMar>
        </w:tblPrEx>
        <w:trPr>
          <w:trHeight w:val="600" w:hRule="atLeast"/>
        </w:trPr>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社会效益指标</w:t>
            </w: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社会影响度</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有效提升</w:t>
            </w:r>
          </w:p>
        </w:tc>
      </w:tr>
      <w:tr>
        <w:tblPrEx>
          <w:tblCellMar>
            <w:top w:w="0" w:type="dxa"/>
            <w:left w:w="108" w:type="dxa"/>
            <w:bottom w:w="0" w:type="dxa"/>
            <w:right w:w="108" w:type="dxa"/>
          </w:tblCellMar>
        </w:tblPrEx>
        <w:trPr>
          <w:trHeight w:val="600" w:hRule="atLeast"/>
        </w:trPr>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生态效益指标</w:t>
            </w: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恢复渔业生态环境</w:t>
            </w:r>
          </w:p>
        </w:tc>
        <w:tc>
          <w:tcPr>
            <w:tcW w:w="15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有效达标</w:t>
            </w:r>
          </w:p>
        </w:tc>
      </w:tr>
      <w:tr>
        <w:tblPrEx>
          <w:tblCellMar>
            <w:top w:w="0" w:type="dxa"/>
            <w:left w:w="108" w:type="dxa"/>
            <w:bottom w:w="0" w:type="dxa"/>
            <w:right w:w="108" w:type="dxa"/>
          </w:tblCellMar>
        </w:tblPrEx>
        <w:trPr>
          <w:trHeight w:val="600" w:hRule="atLeast"/>
        </w:trPr>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可持续影响指标</w:t>
            </w: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水生生物资源利用率</w:t>
            </w:r>
          </w:p>
        </w:tc>
        <w:tc>
          <w:tcPr>
            <w:tcW w:w="15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可持续利用</w:t>
            </w:r>
          </w:p>
        </w:tc>
      </w:tr>
      <w:tr>
        <w:tblPrEx>
          <w:tblCellMar>
            <w:top w:w="0" w:type="dxa"/>
            <w:left w:w="108" w:type="dxa"/>
            <w:bottom w:w="0" w:type="dxa"/>
            <w:right w:w="108" w:type="dxa"/>
          </w:tblCellMar>
        </w:tblPrEx>
        <w:trPr>
          <w:trHeight w:val="600" w:hRule="atLeast"/>
        </w:trPr>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Arial"/>
                <w:kern w:val="0"/>
                <w:sz w:val="22"/>
                <w:szCs w:val="22"/>
              </w:rPr>
            </w:pP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15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r>
      <w:tr>
        <w:tblPrEx>
          <w:tblCellMar>
            <w:top w:w="0" w:type="dxa"/>
            <w:left w:w="108" w:type="dxa"/>
            <w:bottom w:w="0" w:type="dxa"/>
            <w:right w:w="108" w:type="dxa"/>
          </w:tblCellMar>
        </w:tblPrEx>
        <w:trPr>
          <w:trHeight w:val="600" w:hRule="atLeast"/>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满意度指标</w:t>
            </w:r>
          </w:p>
        </w:tc>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服务对象满意度指标</w:t>
            </w: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市民满意度</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100%</w:t>
            </w:r>
          </w:p>
        </w:tc>
      </w:tr>
      <w:tr>
        <w:tblPrEx>
          <w:tblCellMar>
            <w:top w:w="0" w:type="dxa"/>
            <w:left w:w="108" w:type="dxa"/>
            <w:bottom w:w="0" w:type="dxa"/>
            <w:right w:w="108" w:type="dxa"/>
          </w:tblCellMar>
        </w:tblPrEx>
        <w:trPr>
          <w:trHeight w:val="600" w:hRule="atLeast"/>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Arial"/>
                <w:kern w:val="0"/>
                <w:sz w:val="22"/>
                <w:szCs w:val="22"/>
              </w:rPr>
            </w:pPr>
          </w:p>
        </w:tc>
        <w:tc>
          <w:tcPr>
            <w:tcW w:w="576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15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r>
    </w:tbl>
    <w:p>
      <w:pPr>
        <w:widowControl/>
        <w:spacing w:line="600" w:lineRule="exact"/>
        <w:ind w:firstLine="640"/>
        <w:jc w:val="left"/>
        <w:rPr>
          <w:rFonts w:hint="eastAsia" w:ascii="仿宋_GB2312" w:eastAsia="仿宋_GB2312"/>
          <w:color w:val="000000"/>
          <w:sz w:val="32"/>
          <w:szCs w:val="30"/>
        </w:rPr>
      </w:pPr>
    </w:p>
    <w:p>
      <w:pPr>
        <w:widowControl/>
        <w:spacing w:line="600" w:lineRule="exact"/>
        <w:ind w:firstLine="640"/>
        <w:jc w:val="left"/>
        <w:rPr>
          <w:rFonts w:hint="eastAsia" w:ascii="仿宋_GB2312" w:eastAsia="仿宋_GB2312"/>
          <w:color w:val="000000"/>
          <w:sz w:val="32"/>
          <w:szCs w:val="30"/>
        </w:rPr>
      </w:pPr>
    </w:p>
    <w:tbl>
      <w:tblPr>
        <w:tblStyle w:val="7"/>
        <w:tblW w:w="9560" w:type="dxa"/>
        <w:tblInd w:w="94" w:type="dxa"/>
        <w:tblLayout w:type="autofit"/>
        <w:tblCellMar>
          <w:top w:w="0" w:type="dxa"/>
          <w:left w:w="108" w:type="dxa"/>
          <w:bottom w:w="0" w:type="dxa"/>
          <w:right w:w="108" w:type="dxa"/>
        </w:tblCellMar>
      </w:tblPr>
      <w:tblGrid>
        <w:gridCol w:w="960"/>
        <w:gridCol w:w="960"/>
        <w:gridCol w:w="1920"/>
        <w:gridCol w:w="960"/>
        <w:gridCol w:w="1180"/>
        <w:gridCol w:w="960"/>
        <w:gridCol w:w="960"/>
        <w:gridCol w:w="1660"/>
      </w:tblGrid>
      <w:tr>
        <w:tblPrEx>
          <w:tblCellMar>
            <w:top w:w="0" w:type="dxa"/>
            <w:left w:w="108" w:type="dxa"/>
            <w:bottom w:w="0" w:type="dxa"/>
            <w:right w:w="108" w:type="dxa"/>
          </w:tblCellMar>
        </w:tblPrEx>
        <w:trPr>
          <w:trHeight w:val="660" w:hRule="atLeast"/>
        </w:trPr>
        <w:tc>
          <w:tcPr>
            <w:tcW w:w="9560" w:type="dxa"/>
            <w:gridSpan w:val="8"/>
            <w:tcBorders>
              <w:top w:val="nil"/>
              <w:left w:val="nil"/>
              <w:bottom w:val="nil"/>
              <w:right w:val="nil"/>
            </w:tcBorders>
            <w:shd w:val="clear" w:color="auto" w:fill="auto"/>
            <w:vAlign w:val="center"/>
          </w:tcPr>
          <w:p>
            <w:pPr>
              <w:widowControl/>
              <w:jc w:val="center"/>
              <w:rPr>
                <w:rFonts w:ascii="宋体" w:hAnsi="宋体" w:cs="Arial"/>
                <w:b/>
                <w:bCs/>
                <w:color w:val="000000"/>
                <w:kern w:val="0"/>
                <w:sz w:val="32"/>
                <w:szCs w:val="32"/>
              </w:rPr>
            </w:pPr>
            <w:r>
              <w:rPr>
                <w:rFonts w:hint="eastAsia" w:ascii="宋体" w:hAnsi="宋体" w:cs="Arial"/>
                <w:b/>
                <w:bCs/>
                <w:color w:val="000000"/>
                <w:kern w:val="0"/>
                <w:sz w:val="32"/>
                <w:szCs w:val="32"/>
              </w:rPr>
              <w:t>景德镇市</w:t>
            </w:r>
            <w:r>
              <w:rPr>
                <w:rFonts w:hint="eastAsia" w:ascii="宋体" w:hAnsi="宋体" w:cs="Arial"/>
                <w:b/>
                <w:bCs/>
                <w:color w:val="000000"/>
                <w:kern w:val="0"/>
                <w:sz w:val="32"/>
                <w:szCs w:val="32"/>
                <w:lang w:eastAsia="zh-CN"/>
              </w:rPr>
              <w:t>渔业渔政局二</w:t>
            </w:r>
            <w:r>
              <w:rPr>
                <w:rFonts w:hint="eastAsia" w:ascii="宋体" w:hAnsi="宋体" w:cs="Arial"/>
                <w:b/>
                <w:bCs/>
                <w:color w:val="000000"/>
                <w:kern w:val="0"/>
                <w:sz w:val="32"/>
                <w:szCs w:val="32"/>
              </w:rPr>
              <w:t>级项目绩效目标表</w:t>
            </w:r>
          </w:p>
        </w:tc>
      </w:tr>
      <w:tr>
        <w:tblPrEx>
          <w:tblCellMar>
            <w:top w:w="0" w:type="dxa"/>
            <w:left w:w="108" w:type="dxa"/>
            <w:bottom w:w="0" w:type="dxa"/>
            <w:right w:w="108" w:type="dxa"/>
          </w:tblCellMar>
        </w:tblPrEx>
        <w:trPr>
          <w:trHeight w:val="660" w:hRule="atLeast"/>
        </w:trPr>
        <w:tc>
          <w:tcPr>
            <w:tcW w:w="960" w:type="dxa"/>
            <w:tcBorders>
              <w:top w:val="nil"/>
              <w:left w:val="nil"/>
              <w:bottom w:val="nil"/>
              <w:right w:val="nil"/>
            </w:tcBorders>
            <w:shd w:val="clear" w:color="auto" w:fill="auto"/>
          </w:tcPr>
          <w:p>
            <w:pPr>
              <w:widowControl/>
              <w:rPr>
                <w:rFonts w:cs="Arial"/>
                <w:color w:val="000000"/>
                <w:kern w:val="0"/>
              </w:rPr>
            </w:pPr>
          </w:p>
        </w:tc>
        <w:tc>
          <w:tcPr>
            <w:tcW w:w="960" w:type="dxa"/>
            <w:tcBorders>
              <w:top w:val="nil"/>
              <w:left w:val="nil"/>
              <w:bottom w:val="nil"/>
              <w:right w:val="nil"/>
            </w:tcBorders>
            <w:shd w:val="clear" w:color="auto" w:fill="auto"/>
          </w:tcPr>
          <w:p>
            <w:pPr>
              <w:widowControl/>
              <w:rPr>
                <w:rFonts w:cs="Arial"/>
                <w:color w:val="000000"/>
                <w:kern w:val="0"/>
              </w:rPr>
            </w:pPr>
          </w:p>
        </w:tc>
        <w:tc>
          <w:tcPr>
            <w:tcW w:w="1920" w:type="dxa"/>
            <w:tcBorders>
              <w:top w:val="nil"/>
              <w:left w:val="nil"/>
              <w:bottom w:val="single" w:color="auto" w:sz="4" w:space="0"/>
              <w:right w:val="nil"/>
            </w:tcBorders>
            <w:shd w:val="clear" w:color="auto" w:fill="auto"/>
          </w:tcPr>
          <w:p>
            <w:pPr>
              <w:widowControl/>
              <w:rPr>
                <w:rFonts w:cs="Arial"/>
                <w:color w:val="000000"/>
                <w:kern w:val="0"/>
              </w:rPr>
            </w:pPr>
            <w:r>
              <w:rPr>
                <w:rFonts w:cs="Arial"/>
                <w:color w:val="000000"/>
                <w:kern w:val="0"/>
              </w:rPr>
              <w:t>　</w:t>
            </w:r>
          </w:p>
        </w:tc>
        <w:tc>
          <w:tcPr>
            <w:tcW w:w="3100" w:type="dxa"/>
            <w:gridSpan w:val="3"/>
            <w:tcBorders>
              <w:top w:val="nil"/>
              <w:left w:val="nil"/>
              <w:bottom w:val="nil"/>
              <w:right w:val="nil"/>
            </w:tcBorders>
            <w:shd w:val="clear" w:color="auto" w:fill="auto"/>
          </w:tcPr>
          <w:p>
            <w:pPr>
              <w:widowControl/>
              <w:rPr>
                <w:rFonts w:cs="Arial"/>
                <w:color w:val="000000"/>
                <w:kern w:val="0"/>
              </w:rPr>
            </w:pPr>
          </w:p>
        </w:tc>
        <w:tc>
          <w:tcPr>
            <w:tcW w:w="2620" w:type="dxa"/>
            <w:gridSpan w:val="2"/>
            <w:tcBorders>
              <w:top w:val="nil"/>
              <w:left w:val="nil"/>
              <w:bottom w:val="nil"/>
              <w:right w:val="nil"/>
            </w:tcBorders>
            <w:shd w:val="clear" w:color="auto" w:fill="auto"/>
          </w:tcPr>
          <w:p>
            <w:pPr>
              <w:widowControl/>
              <w:rPr>
                <w:rFonts w:cs="Arial"/>
                <w:color w:val="000000"/>
                <w:kern w:val="0"/>
              </w:rPr>
            </w:pPr>
          </w:p>
        </w:tc>
      </w:tr>
      <w:tr>
        <w:trPr>
          <w:trHeight w:val="660" w:hRule="atLeast"/>
        </w:trPr>
        <w:tc>
          <w:tcPr>
            <w:tcW w:w="192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项目名称</w:t>
            </w:r>
          </w:p>
        </w:tc>
        <w:tc>
          <w:tcPr>
            <w:tcW w:w="764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4"/>
                <w:szCs w:val="24"/>
              </w:rPr>
            </w:pPr>
            <w:r>
              <w:rPr>
                <w:rFonts w:hint="eastAsia" w:ascii="宋体" w:hAnsi="宋体" w:cs="Arial"/>
                <w:color w:val="000000"/>
                <w:kern w:val="0"/>
                <w:sz w:val="24"/>
                <w:szCs w:val="24"/>
              </w:rPr>
              <w:t>农业资源保护修复与利用</w:t>
            </w:r>
          </w:p>
        </w:tc>
      </w:tr>
      <w:tr>
        <w:tblPrEx>
          <w:tblCellMar>
            <w:top w:w="0" w:type="dxa"/>
            <w:left w:w="108" w:type="dxa"/>
            <w:bottom w:w="0" w:type="dxa"/>
            <w:right w:w="108" w:type="dxa"/>
          </w:tblCellMar>
        </w:tblPrEx>
        <w:trPr>
          <w:trHeight w:val="660" w:hRule="atLeast"/>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主管部门及代码</w:t>
            </w:r>
          </w:p>
        </w:tc>
        <w:tc>
          <w:tcPr>
            <w:tcW w:w="2880" w:type="dxa"/>
            <w:gridSpan w:val="2"/>
            <w:tcBorders>
              <w:top w:val="single" w:color="auto" w:sz="4" w:space="0"/>
              <w:left w:val="nil"/>
              <w:bottom w:val="single" w:color="auto" w:sz="4" w:space="0"/>
              <w:right w:val="nil"/>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景德镇市农业农村局301001</w:t>
            </w:r>
          </w:p>
        </w:tc>
        <w:tc>
          <w:tcPr>
            <w:tcW w:w="118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实施单位</w:t>
            </w:r>
          </w:p>
        </w:tc>
        <w:tc>
          <w:tcPr>
            <w:tcW w:w="358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景德镇市渔业渔政局</w:t>
            </w:r>
          </w:p>
        </w:tc>
      </w:tr>
      <w:tr>
        <w:trPr>
          <w:trHeight w:val="660" w:hRule="atLeast"/>
        </w:trPr>
        <w:tc>
          <w:tcPr>
            <w:tcW w:w="192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项目资金(万元)</w:t>
            </w:r>
          </w:p>
        </w:tc>
        <w:tc>
          <w:tcPr>
            <w:tcW w:w="1920"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xml:space="preserve">年度资金总额      </w:t>
            </w:r>
          </w:p>
        </w:tc>
        <w:tc>
          <w:tcPr>
            <w:tcW w:w="572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12</w:t>
            </w:r>
          </w:p>
        </w:tc>
      </w:tr>
      <w:tr>
        <w:trPr>
          <w:trHeight w:val="660" w:hRule="atLeast"/>
        </w:trPr>
        <w:tc>
          <w:tcPr>
            <w:tcW w:w="19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color w:val="000000"/>
                <w:kern w:val="0"/>
                <w:sz w:val="22"/>
                <w:szCs w:val="22"/>
              </w:rPr>
            </w:pPr>
          </w:p>
        </w:tc>
        <w:tc>
          <w:tcPr>
            <w:tcW w:w="1920"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xml:space="preserve">                                       其中:财政拨款</w:t>
            </w:r>
          </w:p>
        </w:tc>
        <w:tc>
          <w:tcPr>
            <w:tcW w:w="572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12</w:t>
            </w:r>
          </w:p>
        </w:tc>
      </w:tr>
      <w:tr>
        <w:tblPrEx>
          <w:tblCellMar>
            <w:top w:w="0" w:type="dxa"/>
            <w:left w:w="108" w:type="dxa"/>
            <w:bottom w:w="0" w:type="dxa"/>
            <w:right w:w="108" w:type="dxa"/>
          </w:tblCellMar>
        </w:tblPrEx>
        <w:trPr>
          <w:trHeight w:val="660" w:hRule="atLeast"/>
        </w:trPr>
        <w:tc>
          <w:tcPr>
            <w:tcW w:w="192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color w:val="000000"/>
                <w:kern w:val="0"/>
                <w:sz w:val="22"/>
                <w:szCs w:val="22"/>
              </w:rPr>
            </w:pPr>
          </w:p>
        </w:tc>
        <w:tc>
          <w:tcPr>
            <w:tcW w:w="1920"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xml:space="preserve">                                            其他资金</w:t>
            </w:r>
          </w:p>
        </w:tc>
        <w:tc>
          <w:tcPr>
            <w:tcW w:w="572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0</w:t>
            </w:r>
          </w:p>
        </w:tc>
      </w:tr>
      <w:tr>
        <w:trPr>
          <w:trHeight w:val="660" w:hRule="atLeast"/>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年度绩效目标</w:t>
            </w:r>
          </w:p>
        </w:tc>
      </w:tr>
      <w:tr>
        <w:trPr>
          <w:trHeight w:val="1020" w:hRule="atLeast"/>
        </w:trPr>
        <w:tc>
          <w:tcPr>
            <w:tcW w:w="9560"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做好国家级种质资源保护、涉渔工程及渔业资源保护宣传工作</w:t>
            </w:r>
          </w:p>
        </w:tc>
      </w:tr>
      <w:tr>
        <w:tblPrEx>
          <w:tblCellMar>
            <w:top w:w="0" w:type="dxa"/>
            <w:left w:w="108" w:type="dxa"/>
            <w:bottom w:w="0" w:type="dxa"/>
            <w:right w:w="108" w:type="dxa"/>
          </w:tblCellMar>
        </w:tblPrEx>
        <w:trPr>
          <w:trHeight w:val="600" w:hRule="atLeast"/>
        </w:trPr>
        <w:tc>
          <w:tcPr>
            <w:tcW w:w="9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一级指标</w:t>
            </w:r>
          </w:p>
        </w:tc>
        <w:tc>
          <w:tcPr>
            <w:tcW w:w="9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二级指标</w:t>
            </w:r>
          </w:p>
        </w:tc>
        <w:tc>
          <w:tcPr>
            <w:tcW w:w="5980" w:type="dxa"/>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三级指标</w:t>
            </w:r>
          </w:p>
        </w:tc>
        <w:tc>
          <w:tcPr>
            <w:tcW w:w="16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指标值</w:t>
            </w:r>
          </w:p>
        </w:tc>
      </w:tr>
      <w:tr>
        <w:trPr>
          <w:trHeight w:val="600" w:hRule="atLeast"/>
        </w:trPr>
        <w:tc>
          <w:tcPr>
            <w:tcW w:w="9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产出指标</w:t>
            </w:r>
          </w:p>
        </w:tc>
        <w:tc>
          <w:tcPr>
            <w:tcW w:w="9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数量指标</w:t>
            </w: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国家级水产种质资源保护区巡查</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50次</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涉渔工程处理</w:t>
            </w:r>
          </w:p>
        </w:tc>
        <w:tc>
          <w:tcPr>
            <w:tcW w:w="16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5次</w:t>
            </w:r>
          </w:p>
        </w:tc>
      </w:tr>
      <w:tr>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开展宣传工作</w:t>
            </w:r>
          </w:p>
        </w:tc>
        <w:tc>
          <w:tcPr>
            <w:tcW w:w="16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10次</w:t>
            </w:r>
          </w:p>
        </w:tc>
      </w:tr>
      <w:tr>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水生生物增殖放流</w:t>
            </w:r>
          </w:p>
        </w:tc>
        <w:tc>
          <w:tcPr>
            <w:tcW w:w="16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3次</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restart"/>
            <w:tcBorders>
              <w:top w:val="single" w:color="auto" w:sz="4" w:space="0"/>
              <w:left w:val="single" w:color="auto" w:sz="4" w:space="0"/>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质量指标</w:t>
            </w: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涉渔工程</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通过环评</w:t>
            </w:r>
          </w:p>
        </w:tc>
      </w:tr>
      <w:tr>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水生生物增殖放流</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达到目标</w:t>
            </w:r>
          </w:p>
        </w:tc>
      </w:tr>
      <w:tr>
        <w:tblPrEx>
          <w:tblCellMar>
            <w:top w:w="0" w:type="dxa"/>
            <w:left w:w="108" w:type="dxa"/>
            <w:bottom w:w="0" w:type="dxa"/>
            <w:right w:w="108" w:type="dxa"/>
          </w:tblCellMar>
        </w:tblPrEx>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开展宣传工作</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达到效果</w:t>
            </w:r>
          </w:p>
        </w:tc>
      </w:tr>
      <w:tr>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时效指标</w:t>
            </w: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项目完成及时率</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按项目要求完成</w:t>
            </w:r>
          </w:p>
        </w:tc>
      </w:tr>
      <w:tr>
        <w:trPr>
          <w:trHeight w:val="600" w:hRule="atLeast"/>
        </w:trPr>
        <w:tc>
          <w:tcPr>
            <w:tcW w:w="960" w:type="dxa"/>
            <w:vMerge w:val="continue"/>
            <w:tcBorders>
              <w:top w:val="nil"/>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成本指标</w:t>
            </w: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资金利用率</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100%</w:t>
            </w:r>
          </w:p>
        </w:tc>
      </w:tr>
      <w:tr>
        <w:tblPrEx>
          <w:tblCellMar>
            <w:top w:w="0" w:type="dxa"/>
            <w:left w:w="108" w:type="dxa"/>
            <w:bottom w:w="0" w:type="dxa"/>
            <w:right w:w="108" w:type="dxa"/>
          </w:tblCellMar>
        </w:tblPrEx>
        <w:trPr>
          <w:trHeight w:val="600" w:hRule="atLeast"/>
        </w:trPr>
        <w:tc>
          <w:tcPr>
            <w:tcW w:w="960" w:type="dxa"/>
            <w:vMerge w:val="restart"/>
            <w:tcBorders>
              <w:top w:val="single" w:color="auto" w:sz="4" w:space="0"/>
              <w:left w:val="single" w:color="auto" w:sz="4" w:space="0"/>
              <w:bottom w:val="nil"/>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效益指标</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经济效益指标</w:t>
            </w: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渔民增收</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5%</w:t>
            </w:r>
          </w:p>
        </w:tc>
      </w:tr>
      <w:tr>
        <w:trPr>
          <w:trHeight w:val="600" w:hRule="atLeast"/>
        </w:trPr>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kern w:val="0"/>
                <w:sz w:val="22"/>
                <w:szCs w:val="22"/>
              </w:rPr>
            </w:pP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r>
      <w:tr>
        <w:tblPrEx>
          <w:tblCellMar>
            <w:top w:w="0" w:type="dxa"/>
            <w:left w:w="108" w:type="dxa"/>
            <w:bottom w:w="0" w:type="dxa"/>
            <w:right w:w="108" w:type="dxa"/>
          </w:tblCellMar>
        </w:tblPrEx>
        <w:trPr>
          <w:trHeight w:val="600" w:hRule="atLeast"/>
        </w:trPr>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社会效益指标</w:t>
            </w: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渔业水域</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水质变好</w:t>
            </w:r>
          </w:p>
        </w:tc>
      </w:tr>
      <w:tr>
        <w:trPr>
          <w:trHeight w:val="600" w:hRule="atLeast"/>
        </w:trPr>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生态效益指标</w:t>
            </w: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鱼类种质资源</w:t>
            </w:r>
          </w:p>
        </w:tc>
        <w:tc>
          <w:tcPr>
            <w:tcW w:w="16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多样性发展</w:t>
            </w:r>
          </w:p>
        </w:tc>
      </w:tr>
      <w:tr>
        <w:trPr>
          <w:trHeight w:val="600" w:hRule="atLeast"/>
        </w:trPr>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可持续影响指标</w:t>
            </w: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鱼类种类繁衍</w:t>
            </w:r>
          </w:p>
        </w:tc>
        <w:tc>
          <w:tcPr>
            <w:tcW w:w="16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有效恢复</w:t>
            </w:r>
          </w:p>
        </w:tc>
      </w:tr>
      <w:tr>
        <w:tblPrEx>
          <w:tblCellMar>
            <w:top w:w="0" w:type="dxa"/>
            <w:left w:w="108" w:type="dxa"/>
            <w:bottom w:w="0" w:type="dxa"/>
            <w:right w:w="108" w:type="dxa"/>
          </w:tblCellMar>
        </w:tblPrEx>
        <w:trPr>
          <w:trHeight w:val="600" w:hRule="atLeast"/>
        </w:trPr>
        <w:tc>
          <w:tcPr>
            <w:tcW w:w="96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Arial"/>
                <w:kern w:val="0"/>
                <w:sz w:val="22"/>
                <w:szCs w:val="22"/>
              </w:rPr>
            </w:pP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16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r>
      <w:tr>
        <w:trPr>
          <w:trHeight w:val="600" w:hRule="atLeast"/>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满意度指标</w:t>
            </w:r>
          </w:p>
        </w:tc>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服务对象满意度指标</w:t>
            </w: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市民满意度</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100%</w:t>
            </w:r>
          </w:p>
        </w:tc>
      </w:tr>
      <w:tr>
        <w:tblPrEx>
          <w:tblCellMar>
            <w:top w:w="0" w:type="dxa"/>
            <w:left w:w="108" w:type="dxa"/>
            <w:bottom w:w="0" w:type="dxa"/>
            <w:right w:w="108" w:type="dxa"/>
          </w:tblCellMar>
        </w:tblPrEx>
        <w:trPr>
          <w:trHeight w:val="600" w:hRule="atLeast"/>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Arial"/>
                <w:kern w:val="0"/>
                <w:sz w:val="22"/>
                <w:szCs w:val="22"/>
              </w:rPr>
            </w:pPr>
          </w:p>
        </w:tc>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Arial"/>
                <w:kern w:val="0"/>
                <w:sz w:val="22"/>
                <w:szCs w:val="22"/>
              </w:rPr>
            </w:pPr>
          </w:p>
        </w:tc>
        <w:tc>
          <w:tcPr>
            <w:tcW w:w="598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c>
          <w:tcPr>
            <w:tcW w:w="16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Arial"/>
                <w:kern w:val="0"/>
                <w:sz w:val="22"/>
                <w:szCs w:val="22"/>
              </w:rPr>
            </w:pPr>
            <w:r>
              <w:rPr>
                <w:rFonts w:hint="eastAsia" w:ascii="宋体" w:hAnsi="宋体" w:cs="Arial"/>
                <w:kern w:val="0"/>
                <w:sz w:val="22"/>
                <w:szCs w:val="22"/>
              </w:rPr>
              <w:t>　</w:t>
            </w:r>
          </w:p>
        </w:tc>
      </w:tr>
    </w:tbl>
    <w:p>
      <w:pPr>
        <w:widowControl/>
        <w:spacing w:line="600" w:lineRule="exact"/>
        <w:ind w:firstLine="640"/>
        <w:jc w:val="left"/>
        <w:rPr>
          <w:rFonts w:hint="eastAsia" w:ascii="仿宋_GB2312" w:eastAsia="仿宋_GB2312"/>
          <w:color w:val="000000"/>
          <w:sz w:val="32"/>
          <w:szCs w:val="30"/>
        </w:rPr>
      </w:pPr>
    </w:p>
    <w:p>
      <w:pPr>
        <w:ind w:firstLine="640" w:firstLineChars="200"/>
        <w:rPr>
          <w:rFonts w:ascii="仿宋_GB2312" w:hAnsi="宋体" w:eastAsia="仿宋_GB2312" w:cs="仿宋_GB2312"/>
          <w:sz w:val="32"/>
          <w:szCs w:val="32"/>
        </w:rPr>
      </w:pP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景德镇市渔业渔政局2021年部门预算表</w:t>
      </w:r>
    </w:p>
    <w:p>
      <w:pPr>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hAnsi="宋体" w:eastAsia="仿宋_GB2312" w:cs="仿宋_GB2312"/>
          <w:sz w:val="32"/>
          <w:szCs w:val="32"/>
          <w:shd w:val="clear" w:color="FFFFFF" w:fill="D9D9D9"/>
        </w:rPr>
      </w:pP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一、收入科目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各部门结合实际进行解释。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（一）财政拨款：指市级财政当年拨付的资金。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（二）事业收入：指事业单位开展专业业务活动及辅助活动取得的收入。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（三）事业单位经营收入：指事业单位在专业业务活动及辅助活动之外开展非独立核算经营活动取得的收入。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（四）其他收入：指除财政拨款、事业收入、事业单位经营收入等以外的各项收入。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（五）附属单位上缴收入：反映事业单位附属的独立核算单位按规定标准或比例缴纳的各项收入。包括附属的事业单位上缴的收入和附属的企业上缴的利润等。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（六）上级补助收入：反映事业单位从主管部门和上级单位取得的非财政补助收入。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（七）用事业基金弥补收支差额：填列事业单位用事业基金弥补2021年收支差额的数额。</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（八）上年结转和结余：填列2020年全部结转和结余的资金数，包括当年结转结余资金和历年滚存结转结余资金。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二、支出科目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对部门预算中涉及的支出功能分类科目（明细到项级），结合部门实际，参照《2021年政府收支分类科目》的规范说明进行解释。</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（一）一般公共服务支出（类）纪检监察事务（款）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派驻派出机构</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：反映由纪检监察部门负担的派驻各部门和单位的纪检监察人员的专项业务支出。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2"/>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行政运行</w:t>
      </w:r>
      <w:r>
        <w:rPr>
          <w:rFonts w:hint="eastAsia" w:ascii="仿宋_GB2312" w:hAnsi="宋体" w:eastAsia="仿宋_GB2312" w:cs="仿宋_GB2312"/>
          <w:sz w:val="32"/>
          <w:szCs w:val="32"/>
          <w:lang w:val="en-US" w:eastAsia="zh-CN"/>
        </w:rPr>
        <w:t>（项）：反映行政单位（含参公）的基本支出。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科技转化与推广服务</w:t>
      </w:r>
      <w:r>
        <w:rPr>
          <w:rFonts w:hint="eastAsia" w:ascii="仿宋_GB2312" w:hAnsi="宋体" w:eastAsia="仿宋_GB2312" w:cs="仿宋_GB2312"/>
          <w:sz w:val="32"/>
          <w:szCs w:val="32"/>
          <w:lang w:val="en-US" w:eastAsia="zh-CN"/>
        </w:rPr>
        <w:t>（项）：反映用于农业科技成果转化，农业新品种、新机具、新技术引进、试验、示范、推广及服务，农村人居环境整治等方面的技术试验示范支出。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病虫害控制</w:t>
      </w:r>
      <w:r>
        <w:rPr>
          <w:rFonts w:hint="eastAsia" w:ascii="仿宋_GB2312" w:hAnsi="宋体" w:eastAsia="仿宋_GB2312" w:cs="仿宋_GB2312"/>
          <w:sz w:val="32"/>
          <w:szCs w:val="32"/>
          <w:lang w:val="en-US" w:eastAsia="zh-CN"/>
        </w:rPr>
        <w:t>（项）：反映用于病虫鼠害及疫情监测、预报、预防、控制、检疫、防疫所需的仪器、设施、药物、疫苗、种苗，疫畜防治、扑杀补偿及劳务补助、菌（毒）种保藏及动植物及其产品检疫、检测等方面的支出。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农产品质量安全</w:t>
      </w:r>
      <w:r>
        <w:rPr>
          <w:rFonts w:hint="eastAsia" w:ascii="仿宋_GB2312" w:hAnsi="宋体" w:eastAsia="仿宋_GB2312" w:cs="仿宋_GB2312"/>
          <w:sz w:val="32"/>
          <w:szCs w:val="32"/>
          <w:lang w:val="en-US" w:eastAsia="zh-CN"/>
        </w:rPr>
        <w:t>（项）：反映用于农产品及其投入品的质量安全评估、监测、抽查、认证、应急处置，相关标准的制定、修订、实施、监管等方面的支出。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执法监管</w:t>
      </w:r>
      <w:r>
        <w:rPr>
          <w:rFonts w:hint="eastAsia" w:ascii="仿宋_GB2312" w:hAnsi="宋体" w:eastAsia="仿宋_GB2312" w:cs="仿宋_GB2312"/>
          <w:sz w:val="32"/>
          <w:szCs w:val="32"/>
          <w:lang w:val="en-US" w:eastAsia="zh-CN"/>
        </w:rPr>
        <w:t>（项）：反映用于农业农村法制建设、行政执法、行政复议、行政诉讼等方面的支出。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统计监测与信息服务</w:t>
      </w:r>
      <w:r>
        <w:rPr>
          <w:rFonts w:hint="eastAsia" w:ascii="仿宋_GB2312" w:hAnsi="宋体" w:eastAsia="仿宋_GB2312" w:cs="仿宋_GB2312"/>
          <w:sz w:val="32"/>
          <w:szCs w:val="32"/>
          <w:lang w:val="en-US" w:eastAsia="zh-CN"/>
        </w:rPr>
        <w:t>（项）：反映用于农业农村统计调查与信息收集、整理、分析、发布，以及农业自然资源调查与农业区划等方面的支出。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农业结构调整补贴</w:t>
      </w:r>
      <w:r>
        <w:rPr>
          <w:rFonts w:hint="eastAsia" w:ascii="仿宋_GB2312" w:hAnsi="宋体" w:eastAsia="仿宋_GB2312" w:cs="仿宋_GB2312"/>
          <w:sz w:val="32"/>
          <w:szCs w:val="32"/>
          <w:lang w:val="en-US" w:eastAsia="zh-CN"/>
        </w:rPr>
        <w:t>（项）：反映政府对农业结构调整给予的补贴。</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农业生产发展</w:t>
      </w:r>
      <w:r>
        <w:rPr>
          <w:rFonts w:hint="eastAsia" w:ascii="仿宋_GB2312" w:hAnsi="宋体" w:eastAsia="仿宋_GB2312" w:cs="仿宋_GB2312"/>
          <w:sz w:val="32"/>
          <w:szCs w:val="32"/>
          <w:lang w:val="en-US" w:eastAsia="zh-CN"/>
        </w:rPr>
        <w:t>（项）：反映用于耕地地力保护、适度规模经营、农机购置补贴、优势特色经营主体畜禽水产发展、农村一二三产融合等方面的支出。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乡村产业与合作经济</w:t>
      </w:r>
      <w:r>
        <w:rPr>
          <w:rFonts w:hint="eastAsia" w:ascii="仿宋_GB2312" w:hAnsi="宋体" w:eastAsia="仿宋_GB2312" w:cs="仿宋_GB2312"/>
          <w:sz w:val="32"/>
          <w:szCs w:val="32"/>
          <w:lang w:val="en-US" w:eastAsia="zh-CN"/>
        </w:rPr>
        <w:t>（项）：反映用于农村集体经济组织、农民合作经济组织、新型农业经营主体和农业社会化服务体系建设，以及土地承包管理、宅基地管理等方面的支出。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农产品加工与促销</w:t>
      </w:r>
      <w:r>
        <w:rPr>
          <w:rFonts w:hint="eastAsia" w:ascii="仿宋_GB2312" w:hAnsi="宋体" w:eastAsia="仿宋_GB2312" w:cs="仿宋_GB2312"/>
          <w:sz w:val="32"/>
          <w:szCs w:val="32"/>
          <w:lang w:val="en-US" w:eastAsia="zh-CN"/>
        </w:rPr>
        <w:t>（项）：反映用于促进农产品加工、储藏、运输、国内外大型农产品展示、交易、产销衔接、开拓国内外农产品市场及农业产业化发展等方面的支出。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农业资源保护修复与利用</w:t>
      </w:r>
      <w:r>
        <w:rPr>
          <w:rFonts w:hint="eastAsia" w:ascii="仿宋_GB2312" w:hAnsi="宋体" w:eastAsia="仿宋_GB2312" w:cs="仿宋_GB2312"/>
          <w:sz w:val="32"/>
          <w:szCs w:val="32"/>
          <w:lang w:val="en-US" w:eastAsia="zh-CN"/>
        </w:rPr>
        <w:t>（项）：反映用于耕地质量保护、草原草场利用，渔业水域资源环境保护，农业品种改良提升，以及农业生物资源调研收集、鉴定评价、保存利用等方面的支出。</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其他农业农村</w:t>
      </w:r>
      <w:r>
        <w:rPr>
          <w:rFonts w:hint="eastAsia" w:ascii="仿宋_GB2312" w:hAnsi="宋体" w:eastAsia="仿宋_GB2312" w:cs="仿宋_GB2312"/>
          <w:sz w:val="32"/>
          <w:szCs w:val="32"/>
          <w:lang w:val="en-US" w:eastAsia="zh-CN"/>
        </w:rPr>
        <w:t>：反映其他用于农业农村方面的支出。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p>
      <w:pPr>
        <w:rPr>
          <w:rFonts w:ascii="仿宋_GB2312" w:eastAsia="仿宋_GB2312" w:cs="Times New Roman"/>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Fonts w:cs="Times New Roman"/>
      </w:rPr>
    </w:pPr>
    <w:r>
      <w:rPr>
        <w:rStyle w:val="9"/>
      </w:rPr>
      <w:fldChar w:fldCharType="begin"/>
    </w:r>
    <w:r>
      <w:rPr>
        <w:rStyle w:val="9"/>
      </w:rPr>
      <w:instrText xml:space="preserve">PAGE  </w:instrText>
    </w:r>
    <w:r>
      <w:rPr>
        <w:rStyle w:val="9"/>
      </w:rPr>
      <w:fldChar w:fldCharType="separate"/>
    </w:r>
    <w:r>
      <w:rPr>
        <w:rStyle w:val="9"/>
      </w:rPr>
      <w:t>5</w:t>
    </w:r>
    <w:r>
      <w:rPr>
        <w:rStyle w:val="9"/>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19076E1D"/>
    <w:rsid w:val="000429DB"/>
    <w:rsid w:val="00066060"/>
    <w:rsid w:val="000A0354"/>
    <w:rsid w:val="000A2524"/>
    <w:rsid w:val="00104B4F"/>
    <w:rsid w:val="0017216E"/>
    <w:rsid w:val="00294E9B"/>
    <w:rsid w:val="002A329D"/>
    <w:rsid w:val="00471F10"/>
    <w:rsid w:val="00492C49"/>
    <w:rsid w:val="004B4D02"/>
    <w:rsid w:val="005072C4"/>
    <w:rsid w:val="005C0795"/>
    <w:rsid w:val="005C2D3D"/>
    <w:rsid w:val="00667802"/>
    <w:rsid w:val="00675E17"/>
    <w:rsid w:val="00683AC4"/>
    <w:rsid w:val="006A2A04"/>
    <w:rsid w:val="006D0BA4"/>
    <w:rsid w:val="006E5C0E"/>
    <w:rsid w:val="00746447"/>
    <w:rsid w:val="007F3E8E"/>
    <w:rsid w:val="008110CC"/>
    <w:rsid w:val="008E23EA"/>
    <w:rsid w:val="00941307"/>
    <w:rsid w:val="009A2147"/>
    <w:rsid w:val="00A471E4"/>
    <w:rsid w:val="00AD50A9"/>
    <w:rsid w:val="00AD6C26"/>
    <w:rsid w:val="00B358C5"/>
    <w:rsid w:val="00B83A09"/>
    <w:rsid w:val="00B95740"/>
    <w:rsid w:val="00BE228A"/>
    <w:rsid w:val="00C04C9A"/>
    <w:rsid w:val="00C1206C"/>
    <w:rsid w:val="00C544D2"/>
    <w:rsid w:val="00C8035B"/>
    <w:rsid w:val="00CB427A"/>
    <w:rsid w:val="00D3070F"/>
    <w:rsid w:val="00D8710B"/>
    <w:rsid w:val="00E53C20"/>
    <w:rsid w:val="00E77B7F"/>
    <w:rsid w:val="00E838E8"/>
    <w:rsid w:val="00F233B5"/>
    <w:rsid w:val="00F500B9"/>
    <w:rsid w:val="00FE38E7"/>
    <w:rsid w:val="01992CBB"/>
    <w:rsid w:val="022502CD"/>
    <w:rsid w:val="05EB1609"/>
    <w:rsid w:val="08EE0B31"/>
    <w:rsid w:val="0A326819"/>
    <w:rsid w:val="0CBF216E"/>
    <w:rsid w:val="0FCB58D0"/>
    <w:rsid w:val="11427CB1"/>
    <w:rsid w:val="139E3D52"/>
    <w:rsid w:val="162B4B72"/>
    <w:rsid w:val="18AC060B"/>
    <w:rsid w:val="19076E1D"/>
    <w:rsid w:val="1EBD751D"/>
    <w:rsid w:val="1F117155"/>
    <w:rsid w:val="204B45CE"/>
    <w:rsid w:val="241F3208"/>
    <w:rsid w:val="25705B71"/>
    <w:rsid w:val="2DBB222D"/>
    <w:rsid w:val="31D40AAE"/>
    <w:rsid w:val="381119B2"/>
    <w:rsid w:val="3BD871B8"/>
    <w:rsid w:val="3CF55A87"/>
    <w:rsid w:val="429A727D"/>
    <w:rsid w:val="4322216B"/>
    <w:rsid w:val="4C0B38BC"/>
    <w:rsid w:val="4C0B7195"/>
    <w:rsid w:val="4D3B293C"/>
    <w:rsid w:val="51B40312"/>
    <w:rsid w:val="57CC144D"/>
    <w:rsid w:val="62B20F12"/>
    <w:rsid w:val="641E7445"/>
    <w:rsid w:val="71452C49"/>
    <w:rsid w:val="73224148"/>
    <w:rsid w:val="772860B1"/>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0"/>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style>
  <w:style w:type="character" w:customStyle="1" w:styleId="10">
    <w:name w:val="标题 2 Char"/>
    <w:basedOn w:val="8"/>
    <w:link w:val="2"/>
    <w:semiHidden/>
    <w:qFormat/>
    <w:uiPriority w:val="9"/>
    <w:rPr>
      <w:rFonts w:asciiTheme="majorHAnsi" w:hAnsiTheme="majorHAnsi" w:eastAsiaTheme="majorEastAsia" w:cstheme="majorBidi"/>
      <w:b/>
      <w:bCs/>
      <w:sz w:val="32"/>
      <w:szCs w:val="32"/>
    </w:rPr>
  </w:style>
  <w:style w:type="character" w:customStyle="1" w:styleId="11">
    <w:name w:val="页脚 Char"/>
    <w:basedOn w:val="8"/>
    <w:link w:val="5"/>
    <w:semiHidden/>
    <w:qFormat/>
    <w:uiPriority w:val="99"/>
    <w:rPr>
      <w:rFonts w:cs="Calibri"/>
      <w:sz w:val="18"/>
      <w:szCs w:val="18"/>
    </w:rPr>
  </w:style>
  <w:style w:type="character" w:customStyle="1" w:styleId="12">
    <w:name w:val="批注框文本 Char"/>
    <w:basedOn w:val="8"/>
    <w:link w:val="4"/>
    <w:semiHidden/>
    <w:uiPriority w:val="99"/>
    <w:rPr>
      <w:rFonts w:ascii="Calibri" w:hAnsi="Calibri" w:cs="Calibri"/>
      <w:kern w:val="2"/>
      <w:sz w:val="18"/>
      <w:szCs w:val="18"/>
    </w:rPr>
  </w:style>
  <w:style w:type="character" w:customStyle="1" w:styleId="13">
    <w:name w:val="页眉 Char"/>
    <w:basedOn w:val="8"/>
    <w:link w:val="6"/>
    <w:semiHidden/>
    <w:uiPriority w:val="99"/>
    <w:rPr>
      <w:rFonts w:ascii="Calibri" w:hAnsi="Calibri" w:cs="Calibri"/>
      <w:kern w:val="2"/>
      <w:sz w:val="18"/>
      <w:szCs w:val="18"/>
    </w:rPr>
  </w:style>
  <w:style w:type="paragraph" w:styleId="1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584</Words>
  <Characters>3331</Characters>
  <Lines>27</Lines>
  <Paragraphs>7</Paragraphs>
  <TotalTime>0</TotalTime>
  <ScaleCrop>false</ScaleCrop>
  <LinksUpToDate>false</LinksUpToDate>
  <CharactersWithSpaces>3908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2021-07-19T06:49:09Z</dcterms:modified>
  <dc:title>附件2：2018年市级部门预算说明和预算公开表</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