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rPr>
      </w:pPr>
      <w:r>
        <w:rPr>
          <w:rFonts w:hint="eastAsia" w:ascii="黑体" w:hAnsi="黑体" w:eastAsia="黑体" w:cs="黑体"/>
        </w:rPr>
        <w:t>景德镇市土肥站2021年部门预算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黑体" w:eastAsia="黑体" w:cs="黑体"/>
          <w:sz w:val="32"/>
          <w:szCs w:val="32"/>
        </w:rPr>
        <w:t>景德镇市土肥站</w:t>
      </w:r>
      <w:r>
        <w:rPr>
          <w:rFonts w:hint="eastAsia" w:ascii="黑体" w:hAnsi="宋体" w:eastAsia="黑体" w:cs="黑体"/>
          <w:sz w:val="32"/>
          <w:szCs w:val="32"/>
        </w:rPr>
        <w:t>概况</w:t>
      </w:r>
    </w:p>
    <w:p>
      <w:pPr>
        <w:ind w:firstLine="640" w:firstLineChars="200"/>
        <w:rPr>
          <w:rFonts w:ascii="仿宋_GB2312" w:hAnsi="宋体" w:eastAsia="仿宋_GB2312" w:cs="仿宋_GB2312"/>
          <w:sz w:val="32"/>
          <w:szCs w:val="32"/>
        </w:rPr>
      </w:pPr>
      <w:r>
        <w:rPr>
          <w:rFonts w:hint="eastAsia" w:ascii="仿宋" w:hAnsi="仿宋" w:eastAsia="仿宋" w:cs="仿宋"/>
          <w:color w:val="333333"/>
          <w:sz w:val="32"/>
          <w:szCs w:val="32"/>
          <w:shd w:val="clear" w:color="auto" w:fill="FFFFFF"/>
        </w:rPr>
        <w:t xml:space="preserve">      </w:t>
      </w:r>
      <w:r>
        <w:rPr>
          <w:rFonts w:hint="eastAsia" w:ascii="仿宋_GB2312" w:hAnsi="宋体" w:eastAsia="仿宋_GB2312" w:cs="仿宋_GB2312"/>
          <w:sz w:val="32"/>
          <w:szCs w:val="32"/>
        </w:rPr>
        <w:t>一、部门主要职责</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二、部门机构设置情况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黑体" w:eastAsia="黑体" w:cs="黑体"/>
          <w:sz w:val="32"/>
          <w:szCs w:val="32"/>
        </w:rPr>
        <w:t>景德镇市土肥站</w:t>
      </w:r>
      <w:r>
        <w:rPr>
          <w:rFonts w:hint="eastAsia" w:ascii="黑体" w:hAnsi="宋体" w:eastAsia="黑体" w:cs="黑体"/>
          <w:sz w:val="32"/>
          <w:szCs w:val="32"/>
        </w:rPr>
        <w:t>2021年部门预算情况说明</w:t>
      </w:r>
    </w:p>
    <w:p>
      <w:pPr>
        <w:widowControl/>
        <w:shd w:val="clear" w:color="auto" w:fill="FFFFFF"/>
        <w:ind w:firstLine="960"/>
        <w:jc w:val="left"/>
        <w:rPr>
          <w:rFonts w:ascii="仿宋_GB2312" w:hAnsi="微软雅黑" w:eastAsia="仿宋_GB2312" w:cs="仿宋_GB2312"/>
          <w:color w:val="000000"/>
          <w:kern w:val="0"/>
          <w:sz w:val="32"/>
          <w:szCs w:val="32"/>
          <w:shd w:val="clear" w:color="auto" w:fill="FFFFFF"/>
        </w:rPr>
      </w:pPr>
      <w:r>
        <w:rPr>
          <w:rFonts w:ascii="仿宋_GB2312" w:hAnsi="宋体" w:eastAsia="仿宋_GB2312" w:cs="仿宋_GB2312"/>
          <w:sz w:val="32"/>
          <w:szCs w:val="32"/>
        </w:rPr>
        <w:t xml:space="preserve">  </w:t>
      </w:r>
      <w:r>
        <w:rPr>
          <w:rFonts w:hint="eastAsia" w:ascii="仿宋" w:hAnsi="仿宋" w:eastAsia="仿宋" w:cs="仿宋"/>
          <w:color w:val="333333"/>
          <w:sz w:val="32"/>
          <w:szCs w:val="32"/>
          <w:shd w:val="clear" w:color="auto" w:fill="FFFFFF"/>
        </w:rPr>
        <w:t> </w:t>
      </w:r>
      <w:r>
        <w:rPr>
          <w:rFonts w:ascii="仿宋_GB2312" w:hAnsi="微软雅黑" w:eastAsia="仿宋_GB2312" w:cs="仿宋_GB2312"/>
          <w:color w:val="000000"/>
          <w:kern w:val="0"/>
          <w:sz w:val="32"/>
          <w:szCs w:val="32"/>
          <w:shd w:val="clear" w:color="auto" w:fill="FFFFFF"/>
        </w:rPr>
        <w:t>一、20</w:t>
      </w:r>
      <w:r>
        <w:rPr>
          <w:rFonts w:hint="eastAsia" w:ascii="仿宋_GB2312" w:hAnsi="微软雅黑" w:eastAsia="仿宋_GB2312" w:cs="仿宋_GB2312"/>
          <w:color w:val="000000"/>
          <w:kern w:val="0"/>
          <w:sz w:val="32"/>
          <w:szCs w:val="32"/>
          <w:shd w:val="clear" w:color="auto" w:fill="FFFFFF"/>
        </w:rPr>
        <w:t>21</w:t>
      </w:r>
      <w:r>
        <w:rPr>
          <w:rFonts w:ascii="仿宋_GB2312" w:hAnsi="微软雅黑" w:eastAsia="仿宋_GB2312" w:cs="仿宋_GB2312"/>
          <w:color w:val="000000"/>
          <w:kern w:val="0"/>
          <w:sz w:val="32"/>
          <w:szCs w:val="32"/>
          <w:shd w:val="clear" w:color="auto" w:fill="FFFFFF"/>
        </w:rPr>
        <w:t>年部门预算收支情况说明</w:t>
      </w:r>
    </w:p>
    <w:p>
      <w:pPr>
        <w:widowControl/>
        <w:shd w:val="clear" w:color="auto" w:fill="FFFFFF"/>
        <w:ind w:firstLine="96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1、预算收入情况说明</w:t>
      </w:r>
    </w:p>
    <w:p>
      <w:pPr>
        <w:widowControl/>
        <w:shd w:val="clear" w:color="auto" w:fill="FFFFFF"/>
        <w:ind w:firstLine="96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2、预算支出情况说明</w:t>
      </w:r>
    </w:p>
    <w:p>
      <w:pPr>
        <w:widowControl/>
        <w:shd w:val="clear" w:color="auto" w:fill="FFFFFF"/>
        <w:ind w:left="96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3、经费拨款情况说明</w:t>
      </w:r>
    </w:p>
    <w:p>
      <w:pPr>
        <w:widowControl/>
        <w:shd w:val="clear" w:color="auto" w:fill="FFFFFF"/>
        <w:ind w:left="96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4、政府采购安排情况说明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5、政府性基金收支情况说明</w:t>
      </w:r>
    </w:p>
    <w:p>
      <w:pPr>
        <w:widowControl/>
        <w:shd w:val="clear" w:color="auto" w:fill="FFFFFF"/>
        <w:ind w:left="96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6、机关运行经费情况说明</w:t>
      </w:r>
    </w:p>
    <w:p>
      <w:pPr>
        <w:widowControl/>
        <w:shd w:val="clear" w:color="auto" w:fill="FFFFFF"/>
        <w:ind w:firstLine="1280" w:firstLineChars="40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7、</w:t>
      </w:r>
      <w:r>
        <w:rPr>
          <w:rFonts w:ascii="仿宋_GB2312" w:hAnsi="微软雅黑" w:eastAsia="仿宋_GB2312" w:cs="仿宋_GB2312"/>
          <w:color w:val="000000"/>
          <w:kern w:val="0"/>
          <w:sz w:val="32"/>
          <w:szCs w:val="32"/>
          <w:shd w:val="clear" w:color="auto" w:fill="FFFFFF"/>
        </w:rPr>
        <w:t>国有资产占用情况说明</w:t>
      </w:r>
    </w:p>
    <w:p>
      <w:pPr>
        <w:widowControl/>
        <w:shd w:val="clear" w:color="auto" w:fill="FFFFFF"/>
        <w:ind w:firstLine="1280" w:firstLineChars="40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8、</w:t>
      </w:r>
      <w:r>
        <w:rPr>
          <w:rFonts w:ascii="仿宋_GB2312" w:hAnsi="微软雅黑" w:eastAsia="仿宋_GB2312" w:cs="仿宋_GB2312"/>
          <w:color w:val="000000"/>
          <w:kern w:val="0"/>
          <w:sz w:val="32"/>
          <w:szCs w:val="32"/>
          <w:shd w:val="clear" w:color="auto" w:fill="FFFFFF"/>
        </w:rPr>
        <w:t>预算绩效情况说明</w:t>
      </w:r>
    </w:p>
    <w:p>
      <w:pPr>
        <w:widowControl/>
        <w:shd w:val="clear" w:color="auto" w:fill="FFFFFF"/>
        <w:ind w:firstLine="960"/>
        <w:jc w:val="left"/>
        <w:rPr>
          <w:rFonts w:ascii="仿宋_GB2312" w:eastAsia="仿宋_GB2312" w:cs="Times New Roman"/>
          <w:sz w:val="32"/>
          <w:szCs w:val="32"/>
        </w:rPr>
      </w:pPr>
      <w:r>
        <w:rPr>
          <w:rFonts w:ascii="仿宋_GB2312" w:hAnsi="微软雅黑" w:eastAsia="仿宋_GB2312" w:cs="仿宋_GB2312"/>
          <w:color w:val="000000"/>
          <w:kern w:val="0"/>
          <w:sz w:val="32"/>
          <w:szCs w:val="32"/>
          <w:shd w:val="clear" w:color="auto" w:fill="FFFFFF"/>
        </w:rPr>
        <w:t>二、20</w:t>
      </w:r>
      <w:r>
        <w:rPr>
          <w:rFonts w:hint="eastAsia" w:ascii="仿宋_GB2312" w:hAnsi="微软雅黑" w:eastAsia="仿宋_GB2312" w:cs="仿宋_GB2312"/>
          <w:color w:val="000000"/>
          <w:kern w:val="0"/>
          <w:sz w:val="32"/>
          <w:szCs w:val="32"/>
          <w:shd w:val="clear" w:color="auto" w:fill="FFFFFF"/>
        </w:rPr>
        <w:t>21</w:t>
      </w:r>
      <w:r>
        <w:rPr>
          <w:rFonts w:ascii="仿宋_GB2312" w:hAnsi="微软雅黑" w:eastAsia="仿宋_GB2312" w:cs="仿宋_GB2312"/>
          <w:color w:val="000000"/>
          <w:kern w:val="0"/>
          <w:sz w:val="32"/>
          <w:szCs w:val="32"/>
          <w:shd w:val="clear" w:color="auto" w:fill="FFFFFF"/>
        </w:rPr>
        <w:t>年</w:t>
      </w:r>
      <w:r>
        <w:rPr>
          <w:rFonts w:hint="eastAsia" w:ascii="仿宋_GB2312" w:hAnsi="微软雅黑" w:eastAsia="仿宋_GB2312" w:cs="仿宋_GB2312"/>
          <w:color w:val="000000"/>
          <w:kern w:val="0"/>
          <w:sz w:val="32"/>
          <w:szCs w:val="32"/>
          <w:shd w:val="clear" w:color="auto" w:fill="FFFFFF"/>
        </w:rPr>
        <w:t>“</w:t>
      </w:r>
      <w:r>
        <w:rPr>
          <w:rFonts w:ascii="仿宋_GB2312" w:hAnsi="微软雅黑" w:eastAsia="仿宋_GB2312" w:cs="仿宋_GB2312"/>
          <w:color w:val="000000"/>
          <w:kern w:val="0"/>
          <w:sz w:val="32"/>
          <w:szCs w:val="32"/>
          <w:shd w:val="clear" w:color="auto" w:fill="FFFFFF"/>
        </w:rPr>
        <w:t>三公</w:t>
      </w:r>
      <w:r>
        <w:rPr>
          <w:rFonts w:hint="eastAsia" w:ascii="仿宋_GB2312" w:hAnsi="微软雅黑" w:eastAsia="仿宋_GB2312" w:cs="仿宋_GB2312"/>
          <w:color w:val="000000"/>
          <w:kern w:val="0"/>
          <w:sz w:val="32"/>
          <w:szCs w:val="32"/>
          <w:shd w:val="clear" w:color="auto" w:fill="FFFFFF"/>
        </w:rPr>
        <w:t>”</w:t>
      </w:r>
      <w:r>
        <w:rPr>
          <w:rFonts w:ascii="仿宋_GB2312" w:hAnsi="微软雅黑" w:eastAsia="仿宋_GB2312" w:cs="仿宋_GB2312"/>
          <w:color w:val="000000"/>
          <w:kern w:val="0"/>
          <w:sz w:val="32"/>
          <w:szCs w:val="32"/>
          <w:shd w:val="clear" w:color="auto" w:fill="FFFFFF"/>
        </w:rPr>
        <w:t>经费增减变化原因等说明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黑体" w:eastAsia="黑体" w:cs="黑体"/>
          <w:sz w:val="32"/>
          <w:szCs w:val="32"/>
        </w:rPr>
        <w:t>景德镇市土肥站</w:t>
      </w:r>
      <w:r>
        <w:rPr>
          <w:rFonts w:hint="eastAsia" w:ascii="黑体" w:hAnsi="宋体" w:eastAsia="黑体" w:cs="黑体"/>
          <w:sz w:val="32"/>
          <w:szCs w:val="32"/>
        </w:rPr>
        <w:t>2021年部门预算表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九、《部门整体绩效目标表》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十、《一级项目绩效目标表》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黑体" w:eastAsia="黑体" w:cs="黑体"/>
          <w:sz w:val="32"/>
          <w:szCs w:val="32"/>
        </w:rPr>
        <w:t>景德镇市土肥站</w:t>
      </w:r>
      <w:r>
        <w:rPr>
          <w:rFonts w:hint="eastAsia" w:ascii="黑体" w:hAnsi="宋体" w:eastAsia="黑体" w:cs="黑体"/>
          <w:sz w:val="32"/>
          <w:szCs w:val="32"/>
        </w:rPr>
        <w:t>概况</w:t>
      </w:r>
    </w:p>
    <w:p>
      <w:pPr>
        <w:ind w:firstLine="630" w:firstLineChars="196"/>
        <w:rPr>
          <w:rFonts w:ascii="仿宋_GB2312" w:hAnsi="宋体" w:eastAsia="仿宋_GB2312" w:cs="仿宋_GB2312"/>
          <w:b/>
          <w:bCs/>
          <w:sz w:val="32"/>
          <w:szCs w:val="32"/>
        </w:rPr>
      </w:pPr>
      <w:r>
        <w:rPr>
          <w:rFonts w:hint="eastAsia" w:ascii="仿宋_GB2312" w:hAnsi="宋体" w:eastAsia="仿宋_GB2312" w:cs="仿宋_GB2312"/>
          <w:b/>
          <w:bCs/>
          <w:sz w:val="32"/>
          <w:szCs w:val="32"/>
        </w:rPr>
        <w:t xml:space="preserve">一、部门主要职责 </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市土肥站服务宗旨是：为合理利用土肥水资源提供技术与监测服务。业务范围有：土肥水技术推广（土壤保护技术推广、耕地保护技术推广、肥料使用技术推广、植物增产技术推广、节水灌溉技术推广）；土肥水资源监测（土壤监测、土壤检验、土壤分析评价、肥料环境影响监测、肥料检验、肥效分析评价、农田用水监测、农田用水分析评价、农田废弃物监测、农田环境监测、农田环境分析评价）；土肥水技术培训；土肥水技术开发研究及其服务；当前，市土肥站主要开展的业务范围有：全市耕地质量监测，测土配方施肥技术推广，化肥负增长行动实施单位，有机肥替代化肥项目建设或有机质提升项目，土肥水技术试验研究，节水农业，农用地污染治理及合理利用试验，配合执法大队肥料市场监督管理。</w:t>
      </w:r>
    </w:p>
    <w:p>
      <w:pPr>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景德镇市土肥站为景德镇市农业农村局所属二级预算单位。编制数为4人，其中行政编制0人、事业编制4人、部分补助事业编制0人、自收自支事业编制0人；实有人数4人，其中在职人数为7人，包括行政人员0人、全额拨款事业人员4人、编外临时人员</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人；离休人员0人；退休人员1人。</w:t>
      </w:r>
    </w:p>
    <w:p>
      <w:pP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b/>
          <w:bCs/>
          <w:sz w:val="32"/>
          <w:szCs w:val="32"/>
        </w:rPr>
        <w:t xml:space="preserve"> </w:t>
      </w:r>
      <w:r>
        <w:rPr>
          <w:rFonts w:hint="eastAsia" w:ascii="仿宋_GB2312" w:hAnsi="宋体" w:eastAsia="仿宋_GB2312" w:cs="仿宋_GB2312"/>
          <w:b/>
          <w:bCs/>
          <w:sz w:val="32"/>
          <w:szCs w:val="32"/>
        </w:rPr>
        <w:t>景德镇市土肥站</w:t>
      </w:r>
      <w:r>
        <w:rPr>
          <w:rFonts w:hint="eastAsia" w:ascii="黑体" w:hAnsi="宋体" w:eastAsia="黑体" w:cs="黑体"/>
          <w:b/>
          <w:bCs/>
          <w:sz w:val="32"/>
          <w:szCs w:val="32"/>
        </w:rPr>
        <w:t>202</w:t>
      </w:r>
      <w:r>
        <w:rPr>
          <w:rFonts w:hint="eastAsia" w:ascii="黑体" w:hAnsi="宋体" w:eastAsia="黑体" w:cs="黑体"/>
          <w:sz w:val="32"/>
          <w:szCs w:val="32"/>
        </w:rPr>
        <w:t>1年部门预算情况说明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一、2021年部门预算收支情况说明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rPr>
        <w:t>2021年景德镇市土肥站收入预算总额为58.23万元，与上年预算相比减少9.88万元，主要是站长工资关系转入市农科所减少了工资福利、支出。其中：当年公共财政拨款收入37.49万元，占收入预算总额的64.38%；政府性基金拨款收入0万元，占收入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；事业收入0万元，占收入预算总额的0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；事业单位经营收入0万元，占收入预算总额的0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；当年其他各项收入0万元，占收入预算总额的0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；上年结余结转收入20.74万元，占收入预算总额的35.62</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2021年景德镇市土肥站支出预算总额为58.23万元，与上年预算相比减少9.88万元，主要是站长工资关系转入市农科所减少了工资福利支出。其中：按支出项目类别划分：基本支出52.23万元，占支出预算总额的89.70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，包括工资福利支出26.34万元、商品和服务支出13.03万元、对个人和家庭的补助12.86万元、其他资本性支出0万元；项目支出6万元，占支出总额的10.3</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，包括工资福利支出0万元、商品和服务支出6万元、对个人和家庭的补助0万元、债务利息支出0万元、基本建设支出0万元、其他资本性支出0万元、其他相关支出0万元；事业经营支出0万元，占支出预算总额的0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；对附属单位补助支出的0万元，占支出预算总额的0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；上缴上级支出0万元，占支出预算总额的0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按支出功能项目科目划分：社会保障和就业支出2.8万元，占支出预算总额的4.81%；卫生健康支出2.32万元，占支出预算总额的3.98%；农林水支出51.01万元，占支出预算总额的87.6%；住房保障支出2.1万元，占支出预算总额的3.61%。</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按支出经济分类划分：工资福利支出26.34万元，占支出预算总额的45.23</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；商品和服务支出13.03万元，占支出预算总额的22.39</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；对个人和家庭的补助12.86万元，占支出预算总额的22.08</w:t>
      </w:r>
      <w:r>
        <w:rPr>
          <w:rFonts w:ascii="仿宋_GB2312" w:hAnsi="宋体" w:eastAsia="仿宋_GB2312" w:cs="仿宋_GB2312"/>
          <w:sz w:val="32"/>
          <w:szCs w:val="32"/>
        </w:rPr>
        <w:t>%</w:t>
      </w:r>
      <w:r>
        <w:rPr>
          <w:rFonts w:hint="eastAsia" w:ascii="仿宋_GB2312" w:hAnsi="宋体" w:eastAsia="仿宋_GB2312" w:cs="仿宋_GB2312"/>
          <w:sz w:val="32"/>
          <w:szCs w:val="32"/>
        </w:rPr>
        <w:t>；项目支出6万，占支出总额的10.3</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2021年景德镇市土肥站财政拨款支出预算58.23万元，占支出预算总额的100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减少9.88万元，主要是站长工资关系转入市农科所减少了工资福利支出。具体支出情况是：社会保障和就业支出2.8万元，占支出预算总额的4.81%；卫生健康支出2.32万元，占支出预算总额的3.98%；农林水支出51.01万元，占支出预算总额的87.6%；住房保障支出2.1万元，占支出预算总额的3.61%。</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320" w:firstLineChars="100"/>
        <w:rPr>
          <w:rFonts w:ascii="仿宋_GB2312" w:hAnsi="宋体" w:eastAsia="仿宋_GB2312" w:cs="仿宋_GB2312"/>
          <w:sz w:val="32"/>
          <w:szCs w:val="32"/>
        </w:rPr>
      </w:pPr>
      <w:r>
        <w:rPr>
          <w:rFonts w:hint="eastAsia" w:ascii="仿宋_GB2312" w:hAnsi="宋体" w:eastAsia="仿宋_GB2312" w:cs="仿宋_GB2312"/>
          <w:sz w:val="32"/>
          <w:szCs w:val="32"/>
        </w:rPr>
        <w:t>2021年景德镇市土肥站无政府采购预算。</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2021年景德镇市土肥站无政府基金收支预算。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（六）2021年“三公”经费预算情况说明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2021年景德镇市土肥站“三公”经费年初预算安排3.2万元。其中：因公出国（境）费0万元，比上年增（减）0万元。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公务接待费3.2万元，比上年增（减）0万元。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公务用车运行维护费0万元，比上年增（减）0万元。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公务用车购置费0万元，比上年增（减）0万元。</w:t>
      </w:r>
    </w:p>
    <w:p>
      <w:pPr>
        <w:widowControl/>
        <w:spacing w:line="600" w:lineRule="exact"/>
        <w:ind w:firstLine="643" w:firstLineChars="200"/>
        <w:jc w:val="left"/>
        <w:rPr>
          <w:rFonts w:ascii="仿宋_GB2312" w:eastAsia="仿宋_GB2312"/>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r>
        <w:rPr>
          <w:rFonts w:hint="eastAsia" w:ascii="仿宋_GB2312" w:eastAsia="仿宋_GB2312"/>
          <w:color w:val="000000"/>
          <w:sz w:val="32"/>
          <w:szCs w:val="30"/>
        </w:rPr>
        <w:t xml:space="preserve">    。</w:t>
      </w:r>
      <w:r>
        <w:rPr>
          <w:rFonts w:ascii="仿宋_GB2312" w:eastAsia="仿宋_GB2312"/>
          <w:color w:val="000000"/>
          <w:sz w:val="32"/>
          <w:szCs w:val="30"/>
        </w:rPr>
        <w:t xml:space="preserve"> </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2021年部门整体绩效目标无。</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eastAsia="仿宋_GB2312"/>
          <w:b/>
          <w:bCs/>
          <w:color w:val="000000"/>
          <w:sz w:val="32"/>
          <w:szCs w:val="30"/>
        </w:rPr>
        <w:t>一级</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2021年实行绩效目标管理的一级项目1个，涉及资金 6   万元，其中：二级项目</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个，涉及资金</w:t>
      </w:r>
      <w:r>
        <w:rPr>
          <w:rFonts w:hint="eastAsia" w:ascii="仿宋_GB2312" w:eastAsia="仿宋_GB2312"/>
          <w:color w:val="000000"/>
          <w:sz w:val="32"/>
          <w:szCs w:val="30"/>
          <w:lang w:val="en-US" w:eastAsia="zh-CN"/>
        </w:rPr>
        <w:t>6</w:t>
      </w:r>
      <w:bookmarkStart w:id="0" w:name="_GoBack"/>
      <w:bookmarkEnd w:id="0"/>
      <w:r>
        <w:rPr>
          <w:rFonts w:hint="eastAsia" w:ascii="仿宋_GB2312" w:eastAsia="仿宋_GB2312"/>
          <w:color w:val="000000"/>
          <w:sz w:val="32"/>
          <w:szCs w:val="30"/>
        </w:rPr>
        <w:t>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eastAsia="仿宋_GB2312"/>
          <w:b/>
          <w:color w:val="000000"/>
          <w:sz w:val="32"/>
          <w:szCs w:val="30"/>
        </w:rPr>
        <w:t>（九）一级项目中各二级项目情况说明</w:t>
      </w:r>
    </w:p>
    <w:p>
      <w:pPr>
        <w:widowControl/>
        <w:numPr>
          <w:ilvl w:val="0"/>
          <w:numId w:val="0"/>
        </w:numPr>
        <w:spacing w:line="600" w:lineRule="exact"/>
        <w:ind w:left="640" w:leftChars="0"/>
        <w:jc w:val="left"/>
        <w:rPr>
          <w:rFonts w:hint="eastAsia" w:ascii="仿宋_GB2312" w:eastAsia="仿宋_GB2312"/>
          <w:color w:val="000000"/>
          <w:sz w:val="32"/>
          <w:szCs w:val="30"/>
          <w:highlight w:val="none"/>
          <w:lang w:val="en-US" w:eastAsia="zh-CN"/>
        </w:rPr>
      </w:pPr>
      <w:r>
        <w:rPr>
          <w:rFonts w:hint="eastAsia" w:ascii="仿宋_GB2312" w:hAnsi="宋体" w:eastAsia="仿宋_GB2312" w:cs="仿宋_GB2312"/>
          <w:sz w:val="32"/>
          <w:szCs w:val="32"/>
        </w:rPr>
        <w:t xml:space="preserve"> </w:t>
      </w:r>
      <w:r>
        <w:rPr>
          <w:rFonts w:hint="eastAsia" w:ascii="仿宋_GB2312" w:eastAsia="仿宋_GB2312"/>
          <w:color w:val="000000"/>
          <w:sz w:val="32"/>
          <w:szCs w:val="30"/>
          <w:highlight w:val="none"/>
          <w:lang w:val="en-US" w:eastAsia="zh-CN"/>
        </w:rPr>
        <w:t>农业资源保护修复与利用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（1）实施主体</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景德镇市土肥站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（2）实施周期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项目实施周期为2021年全年。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（3）年度预算安排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景德镇市2021年年初预算安排农业资源保护修复与利用经费6万元。</w:t>
      </w:r>
    </w:p>
    <w:p>
      <w:pPr>
        <w:ind w:firstLine="640" w:firstLineChars="200"/>
        <w:rPr>
          <w:rFonts w:ascii="仿宋_GB2312" w:hAnsi="宋体" w:eastAsia="仿宋_GB2312" w:cs="仿宋_GB2312"/>
          <w:sz w:val="32"/>
          <w:szCs w:val="32"/>
        </w:rPr>
      </w:pP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市土肥站</w:t>
      </w:r>
      <w:r>
        <w:rPr>
          <w:rFonts w:hint="eastAsia" w:ascii="黑体" w:hAnsi="宋体" w:eastAsia="黑体" w:cs="黑体"/>
          <w:sz w:val="32"/>
          <w:szCs w:val="32"/>
        </w:rPr>
        <w:t>2021年部门预算表</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（详见附表）</w:t>
      </w:r>
    </w:p>
    <w:p>
      <w:pPr>
        <w:rPr>
          <w:rFonts w:ascii="仿宋_GB2312" w:hAnsi="宋体" w:eastAsia="仿宋_GB2312" w:cs="仿宋_GB2312"/>
          <w:sz w:val="32"/>
          <w:szCs w:val="32"/>
          <w:shd w:val="clear" w:color="FFFFFF" w:fill="D9D9D9"/>
        </w:rPr>
      </w:pPr>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二、支出科目</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（一）社会保障和就业支出（类）行政事业单位养老（款）</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行政单位离退休（项）：反映行政单位（含参公）开支的离退休经费。</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事业单位离退休（项）：反映事业单位开支的离退休费</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机关事业单位基本养老保险缴费（项）：反映机关事业单位实施养老保险制度由单位缴纳的基本养老保险费支出。</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（二）卫生健康支出（类）卫生健康管理事务（款）</w:t>
      </w:r>
    </w:p>
    <w:p>
      <w:pPr>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 xml:space="preserve">     其他卫生健康管理事务（项）：反映其他用于卫生健康管理事务各方面的支出。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卫生健康支出（类）行政事业单位医疗（款）</w:t>
      </w:r>
    </w:p>
    <w:p>
      <w:pPr>
        <w:spacing w:line="560" w:lineRule="exact"/>
        <w:ind w:firstLine="960" w:firstLineChars="300"/>
        <w:rPr>
          <w:rFonts w:ascii="仿宋_GB2312" w:hAnsi="宋体" w:eastAsia="仿宋_GB2312" w:cs="仿宋_GB2312"/>
          <w:sz w:val="32"/>
          <w:szCs w:val="32"/>
        </w:rPr>
      </w:pPr>
      <w:r>
        <w:rPr>
          <w:rFonts w:ascii="仿宋_GB2312" w:hAnsi="宋体" w:eastAsia="仿宋_GB2312" w:cs="仿宋_GB2312"/>
          <w:sz w:val="32"/>
          <w:szCs w:val="32"/>
        </w:rPr>
        <w:t>行政单位医疗</w:t>
      </w:r>
      <w:r>
        <w:rPr>
          <w:rFonts w:hint="eastAsia" w:ascii="仿宋_GB2312" w:hAnsi="宋体" w:eastAsia="仿宋_GB2312" w:cs="仿宋_GB2312"/>
          <w:sz w:val="32"/>
          <w:szCs w:val="32"/>
        </w:rPr>
        <w:t>（项）：反映财政部门安排的行政单位（含参公）基本医疗保险缴费经费，未参加医疗保险的行政单位的公费医疗经费，按国家规定享受离休人员、红军战士待遇人员的医疗经费。</w:t>
      </w:r>
    </w:p>
    <w:p>
      <w:pPr>
        <w:spacing w:line="560" w:lineRule="exact"/>
        <w:ind w:firstLine="960" w:firstLineChars="300"/>
        <w:rPr>
          <w:rFonts w:ascii="仿宋_GB2312" w:hAnsi="宋体" w:eastAsia="仿宋_GB2312" w:cs="仿宋_GB2312"/>
          <w:sz w:val="32"/>
          <w:szCs w:val="32"/>
        </w:rPr>
      </w:pPr>
      <w:r>
        <w:rPr>
          <w:rFonts w:ascii="仿宋_GB2312" w:hAnsi="宋体" w:eastAsia="仿宋_GB2312" w:cs="仿宋_GB2312"/>
          <w:sz w:val="32"/>
          <w:szCs w:val="32"/>
        </w:rPr>
        <w:t>事业单位医疗</w:t>
      </w:r>
      <w:r>
        <w:rPr>
          <w:rFonts w:hint="eastAsia" w:ascii="仿宋_GB2312" w:hAnsi="宋体" w:eastAsia="仿宋_GB2312" w:cs="仿宋_GB2312"/>
          <w:sz w:val="32"/>
          <w:szCs w:val="32"/>
        </w:rPr>
        <w:t>（项）：反映财政部门安排的事业单位基本医疗保险缴费经费，未参加医疗保险的事业单位的公费医疗经费，按照国家规定享受离休人员待遇的医疗经费。</w:t>
      </w:r>
    </w:p>
    <w:p>
      <w:pPr>
        <w:spacing w:line="560" w:lineRule="exact"/>
        <w:rPr>
          <w:rFonts w:ascii="仿宋_GB2312" w:hAnsi="宋体" w:eastAsia="仿宋_GB2312" w:cs="仿宋_GB2312"/>
          <w:sz w:val="32"/>
          <w:szCs w:val="32"/>
        </w:rPr>
      </w:pPr>
      <w:r>
        <w:rPr>
          <w:rFonts w:ascii="仿宋_GB2312" w:hAnsi="宋体" w:eastAsia="仿宋_GB2312" w:cs="仿宋_GB2312"/>
          <w:sz w:val="32"/>
          <w:szCs w:val="32"/>
        </w:rPr>
        <w:t>公务员医疗补助</w:t>
      </w:r>
      <w:r>
        <w:rPr>
          <w:rFonts w:hint="eastAsia" w:ascii="仿宋_GB2312" w:hAnsi="宋体" w:eastAsia="仿宋_GB2312" w:cs="仿宋_GB2312"/>
          <w:sz w:val="32"/>
          <w:szCs w:val="32"/>
        </w:rPr>
        <w:t>（项）：反映财政部门安排的公务员医疗补助经费。</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其他行政事业单位医疗</w:t>
      </w:r>
      <w:r>
        <w:rPr>
          <w:rFonts w:hint="eastAsia" w:ascii="仿宋_GB2312" w:hAnsi="宋体" w:eastAsia="仿宋_GB2312" w:cs="仿宋_GB2312"/>
          <w:sz w:val="32"/>
          <w:szCs w:val="32"/>
        </w:rPr>
        <w:t>（项）：反映除上述项目以外的其他用于行政事业单位医疗方面的支出。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农林水支出（类）农业农村（款）</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事业运行</w:t>
      </w:r>
      <w:r>
        <w:rPr>
          <w:rFonts w:hint="eastAsia" w:ascii="仿宋_GB2312" w:hAnsi="宋体" w:eastAsia="仿宋_GB2312" w:cs="仿宋_GB2312"/>
          <w:sz w:val="32"/>
          <w:szCs w:val="32"/>
        </w:rPr>
        <w:t>（项）：反映用于农业事业单位基本支出，事业单位设施、系统运行与资产维护等方面的支出。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住房保障支出（类）住房改革支出（款）</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住房公积金</w:t>
      </w:r>
      <w:r>
        <w:rPr>
          <w:rFonts w:hint="eastAsia" w:ascii="仿宋_GB2312" w:hAnsi="宋体" w:eastAsia="仿宋_GB2312" w:cs="仿宋_GB2312"/>
          <w:sz w:val="32"/>
          <w:szCs w:val="32"/>
        </w:rPr>
        <w:t>（项）：反映行政事业单位按人力资源和社会保障部、财政部规定的基本工资和津补贴以及规定比例为职工缴纳的住房公积金。</w:t>
      </w:r>
    </w:p>
    <w:p>
      <w:pPr>
        <w:ind w:firstLine="640" w:firstLineChars="200"/>
        <w:rPr>
          <w:rFonts w:ascii="仿宋_GB2312" w:eastAsia="仿宋_GB2312"/>
          <w:color w:val="000000"/>
          <w:sz w:val="32"/>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Fonts w:cs="Times New Roman"/>
      </w:rPr>
    </w:pPr>
    <w:r>
      <w:rPr>
        <w:rStyle w:val="9"/>
      </w:rPr>
      <w:fldChar w:fldCharType="begin"/>
    </w:r>
    <w:r>
      <w:rPr>
        <w:rStyle w:val="9"/>
      </w:rPr>
      <w:instrText xml:space="preserve">PAGE  </w:instrText>
    </w:r>
    <w:r>
      <w:rPr>
        <w:rStyle w:val="9"/>
      </w:rPr>
      <w:fldChar w:fldCharType="separate"/>
    </w:r>
    <w:r>
      <w:rPr>
        <w:rStyle w:val="9"/>
      </w:rPr>
      <w:t>6</w:t>
    </w:r>
    <w:r>
      <w:rPr>
        <w:rStyle w:val="9"/>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rsids>
    <w:rsidRoot w:val="19076E1D"/>
    <w:rsid w:val="000429DB"/>
    <w:rsid w:val="00066060"/>
    <w:rsid w:val="0022373E"/>
    <w:rsid w:val="002263B2"/>
    <w:rsid w:val="002474C1"/>
    <w:rsid w:val="00250BAA"/>
    <w:rsid w:val="00251BA4"/>
    <w:rsid w:val="004E1AC8"/>
    <w:rsid w:val="00657110"/>
    <w:rsid w:val="00675E17"/>
    <w:rsid w:val="00683AC4"/>
    <w:rsid w:val="008110CC"/>
    <w:rsid w:val="0081675C"/>
    <w:rsid w:val="008F0A6F"/>
    <w:rsid w:val="00AF2952"/>
    <w:rsid w:val="00B358C5"/>
    <w:rsid w:val="00C04C9A"/>
    <w:rsid w:val="00CB427A"/>
    <w:rsid w:val="00D5290E"/>
    <w:rsid w:val="00EC55A8"/>
    <w:rsid w:val="00F500B9"/>
    <w:rsid w:val="00FC22C3"/>
    <w:rsid w:val="01992CBB"/>
    <w:rsid w:val="022502CD"/>
    <w:rsid w:val="034D57FE"/>
    <w:rsid w:val="05EB1609"/>
    <w:rsid w:val="074B23EF"/>
    <w:rsid w:val="089C09AE"/>
    <w:rsid w:val="08EE0B31"/>
    <w:rsid w:val="09633402"/>
    <w:rsid w:val="0A326819"/>
    <w:rsid w:val="0CBF216E"/>
    <w:rsid w:val="0FCB58D0"/>
    <w:rsid w:val="1027591C"/>
    <w:rsid w:val="11427CB1"/>
    <w:rsid w:val="139E3D52"/>
    <w:rsid w:val="1611709B"/>
    <w:rsid w:val="162B4B72"/>
    <w:rsid w:val="17730771"/>
    <w:rsid w:val="18AC060B"/>
    <w:rsid w:val="19076E1D"/>
    <w:rsid w:val="1DC50322"/>
    <w:rsid w:val="1EBD751D"/>
    <w:rsid w:val="1F117155"/>
    <w:rsid w:val="204B45CE"/>
    <w:rsid w:val="20871558"/>
    <w:rsid w:val="23FD1588"/>
    <w:rsid w:val="25705B71"/>
    <w:rsid w:val="25F63B9B"/>
    <w:rsid w:val="2DBB222D"/>
    <w:rsid w:val="3041298E"/>
    <w:rsid w:val="31D40AAE"/>
    <w:rsid w:val="3435569E"/>
    <w:rsid w:val="381119B2"/>
    <w:rsid w:val="3BD871B8"/>
    <w:rsid w:val="3CF55A87"/>
    <w:rsid w:val="3D532B01"/>
    <w:rsid w:val="429A727D"/>
    <w:rsid w:val="4322216B"/>
    <w:rsid w:val="457055A6"/>
    <w:rsid w:val="464A05C4"/>
    <w:rsid w:val="4C0B38BC"/>
    <w:rsid w:val="4C0B7195"/>
    <w:rsid w:val="4D3B293C"/>
    <w:rsid w:val="51A53E36"/>
    <w:rsid w:val="51B40312"/>
    <w:rsid w:val="520B5346"/>
    <w:rsid w:val="57801FB3"/>
    <w:rsid w:val="57CC144D"/>
    <w:rsid w:val="5B893D31"/>
    <w:rsid w:val="5EDA7FB9"/>
    <w:rsid w:val="62B20F12"/>
    <w:rsid w:val="641E7445"/>
    <w:rsid w:val="71452C49"/>
    <w:rsid w:val="73224148"/>
    <w:rsid w:val="772860B1"/>
    <w:rsid w:val="7B4102B0"/>
    <w:rsid w:val="7F0C59E2"/>
    <w:rsid w:val="7FFD3E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0"/>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3"/>
    <w:semiHidden/>
    <w:unhideWhenUsed/>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style>
  <w:style w:type="character" w:customStyle="1" w:styleId="10">
    <w:name w:val="标题 2 Char"/>
    <w:basedOn w:val="8"/>
    <w:link w:val="2"/>
    <w:semiHidden/>
    <w:qFormat/>
    <w:uiPriority w:val="9"/>
    <w:rPr>
      <w:rFonts w:asciiTheme="majorHAnsi" w:hAnsiTheme="majorHAnsi" w:eastAsiaTheme="majorEastAsia" w:cstheme="majorBidi"/>
      <w:b/>
      <w:bCs/>
      <w:sz w:val="32"/>
      <w:szCs w:val="32"/>
    </w:rPr>
  </w:style>
  <w:style w:type="character" w:customStyle="1" w:styleId="11">
    <w:name w:val="页脚 Char"/>
    <w:basedOn w:val="8"/>
    <w:link w:val="5"/>
    <w:semiHidden/>
    <w:qFormat/>
    <w:uiPriority w:val="99"/>
    <w:rPr>
      <w:rFonts w:cs="Calibri"/>
      <w:sz w:val="18"/>
      <w:szCs w:val="18"/>
    </w:rPr>
  </w:style>
  <w:style w:type="character" w:customStyle="1" w:styleId="12">
    <w:name w:val="批注框文本 Char"/>
    <w:basedOn w:val="8"/>
    <w:link w:val="4"/>
    <w:semiHidden/>
    <w:qFormat/>
    <w:uiPriority w:val="99"/>
    <w:rPr>
      <w:rFonts w:ascii="Calibri" w:hAnsi="Calibri" w:cs="Calibri"/>
      <w:kern w:val="2"/>
      <w:sz w:val="18"/>
      <w:szCs w:val="18"/>
    </w:rPr>
  </w:style>
  <w:style w:type="character" w:customStyle="1" w:styleId="13">
    <w:name w:val="页眉 Char"/>
    <w:basedOn w:val="8"/>
    <w:link w:val="6"/>
    <w:semiHidden/>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64F449-AC7B-4CFE-BA52-46E1DF58E26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500</Words>
  <Characters>2852</Characters>
  <Lines>23</Lines>
  <Paragraphs>6</Paragraphs>
  <TotalTime>1</TotalTime>
  <ScaleCrop>false</ScaleCrop>
  <LinksUpToDate>false</LinksUpToDate>
  <CharactersWithSpaces>3346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2021-07-15T07:54:00Z</dcterms:created>
  <dc:creator>Administrator</dc:creator>
  <cp:lastModifiedBy>阳咩咩</cp:lastModifiedBy>
  <cp:lastPrinted>2021-05-26T02:23:00Z</cp:lastPrinted>
  <dcterms:modified xsi:type="dcterms:W3CDTF">2021-07-16T06:01:19Z</dcterms:modified>
  <dc:title>附件2：2018年市级部门预算说明和预算公开表</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