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center"/>
        <w:rPr>
          <w:rFonts w:ascii="黑体" w:hAnsi="黑体" w:eastAsia="黑体" w:cs="黑体"/>
          <w:highlight w:val="none"/>
        </w:rPr>
      </w:pPr>
      <w:r>
        <w:rPr>
          <w:rFonts w:hint="eastAsia" w:ascii="黑体" w:hAnsi="黑体" w:eastAsia="黑体" w:cs="黑体"/>
          <w:highlight w:val="none"/>
        </w:rPr>
        <w:t>景德镇市农业技术推广中心2022年部门预算公开</w:t>
      </w:r>
    </w:p>
    <w:p>
      <w:pPr>
        <w:spacing w:before="240"/>
        <w:jc w:val="center"/>
        <w:rPr>
          <w:rFonts w:ascii="仿宋_GB2312" w:hAnsi="仿宋" w:eastAsia="仿宋_GB2312" w:cs="Times New Roman"/>
          <w:b/>
          <w:bCs/>
          <w:sz w:val="32"/>
          <w:szCs w:val="32"/>
          <w:highlight w:val="none"/>
        </w:rPr>
      </w:pPr>
      <w:r>
        <w:rPr>
          <w:rFonts w:hint="eastAsia" w:ascii="仿宋_GB2312" w:hAnsi="仿宋" w:eastAsia="仿宋_GB2312" w:cs="仿宋_GB2312"/>
          <w:b/>
          <w:bCs/>
          <w:sz w:val="32"/>
          <w:szCs w:val="32"/>
          <w:highlight w:val="none"/>
        </w:rPr>
        <w:t>目</w:t>
      </w:r>
      <w:r>
        <w:rPr>
          <w:rFonts w:ascii="仿宋_GB2312" w:hAnsi="仿宋" w:eastAsia="仿宋_GB2312" w:cs="仿宋_GB2312"/>
          <w:b/>
          <w:bCs/>
          <w:sz w:val="32"/>
          <w:szCs w:val="32"/>
          <w:highlight w:val="none"/>
        </w:rPr>
        <w:t xml:space="preserve">   </w:t>
      </w:r>
      <w:r>
        <w:rPr>
          <w:rFonts w:hint="eastAsia" w:ascii="仿宋_GB2312" w:hAnsi="仿宋" w:eastAsia="仿宋_GB2312" w:cs="仿宋_GB2312"/>
          <w:b/>
          <w:bCs/>
          <w:sz w:val="32"/>
          <w:szCs w:val="32"/>
          <w:highlight w:val="none"/>
        </w:rPr>
        <w:t>录</w:t>
      </w:r>
    </w:p>
    <w:p>
      <w:pPr>
        <w:ind w:firstLine="640" w:firstLineChars="200"/>
        <w:rPr>
          <w:rFonts w:ascii="黑体" w:eastAsia="黑体" w:cs="Times New Roman"/>
          <w:sz w:val="32"/>
          <w:szCs w:val="32"/>
          <w:highlight w:val="none"/>
        </w:rPr>
      </w:pPr>
      <w:r>
        <w:rPr>
          <w:rFonts w:hint="eastAsia" w:ascii="黑体" w:hAnsi="宋体" w:eastAsia="黑体" w:cs="黑体"/>
          <w:sz w:val="32"/>
          <w:szCs w:val="32"/>
          <w:highlight w:val="none"/>
        </w:rPr>
        <w:t>第一部分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景德镇市农业技术推广中心概况</w:t>
      </w:r>
    </w:p>
    <w:p>
      <w:pPr>
        <w:pStyle w:val="12"/>
        <w:spacing w:line="560" w:lineRule="exact"/>
        <w:ind w:firstLine="1120" w:firstLineChars="350"/>
        <w:jc w:val="left"/>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highlight w:val="none"/>
          <w:shd w:val="clear" w:fill="FFFFFF"/>
          <w:lang w:val="en-US" w:eastAsia="zh-CN"/>
        </w:rPr>
        <w:t xml:space="preserve">   </w:t>
      </w:r>
      <w:r>
        <w:rPr>
          <w:rFonts w:ascii="Adobe 仿宋 Std R" w:hAnsi="Adobe 仿宋 Std R" w:eastAsia="Adobe 仿宋 Std R"/>
          <w:kern w:val="2"/>
          <w:sz w:val="32"/>
          <w:szCs w:val="30"/>
        </w:rPr>
        <w:t>一、</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主要职责</w:t>
      </w:r>
    </w:p>
    <w:p>
      <w:pPr>
        <w:pStyle w:val="12"/>
        <w:spacing w:line="560" w:lineRule="exact"/>
        <w:ind w:firstLine="1280" w:firstLineChars="400"/>
        <w:jc w:val="left"/>
        <w:rPr>
          <w:rFonts w:hint="eastAsia" w:ascii="仿宋_GB2312" w:hAnsi="宋体" w:eastAsia="仿宋_GB2312" w:cs="仿宋_GB2312"/>
          <w:sz w:val="32"/>
          <w:szCs w:val="32"/>
          <w:highlight w:val="none"/>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第二部分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景德镇市农业技术推广中心2022年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预算情况说明</w:t>
      </w:r>
    </w:p>
    <w:p>
      <w:pPr>
        <w:keepNext w:val="0"/>
        <w:keepLines w:val="0"/>
        <w:pageBreakBefore w:val="0"/>
        <w:widowControl/>
        <w:shd w:val="clear" w:color="auto" w:fill="FFFFFF"/>
        <w:kinsoku/>
        <w:wordWrap/>
        <w:overflowPunct/>
        <w:topLinePunct w:val="0"/>
        <w:autoSpaceDE/>
        <w:autoSpaceDN/>
        <w:bidi w:val="0"/>
        <w:adjustRightInd/>
        <w:snapToGrid/>
        <w:ind w:firstLine="1280" w:firstLineChars="400"/>
        <w:jc w:val="left"/>
        <w:textAlignment w:val="auto"/>
        <w:rPr>
          <w:rFonts w:ascii="仿宋_GB2312" w:hAnsi="微软雅黑" w:eastAsia="仿宋_GB2312" w:cs="仿宋_GB2312"/>
          <w:color w:val="000000"/>
          <w:kern w:val="0"/>
          <w:sz w:val="32"/>
          <w:szCs w:val="32"/>
          <w:highlight w:val="none"/>
          <w:shd w:val="clear" w:color="auto" w:fill="FFFFFF"/>
        </w:rPr>
      </w:pPr>
      <w:r>
        <w:rPr>
          <w:rFonts w:ascii="仿宋_GB2312" w:hAnsi="微软雅黑" w:eastAsia="仿宋_GB2312" w:cs="仿宋_GB2312"/>
          <w:color w:val="000000"/>
          <w:kern w:val="0"/>
          <w:sz w:val="32"/>
          <w:szCs w:val="32"/>
          <w:highlight w:val="none"/>
          <w:shd w:val="clear" w:color="auto" w:fill="FFFFFF"/>
        </w:rPr>
        <w:t>一、</w:t>
      </w:r>
      <w:r>
        <w:rPr>
          <w:rFonts w:hint="eastAsia" w:ascii="仿宋_GB2312" w:hAnsi="微软雅黑" w:eastAsia="仿宋_GB2312" w:cs="仿宋_GB2312"/>
          <w:color w:val="000000"/>
          <w:kern w:val="0"/>
          <w:sz w:val="32"/>
          <w:szCs w:val="32"/>
          <w:highlight w:val="none"/>
          <w:shd w:val="clear" w:color="auto" w:fill="FFFFFF"/>
        </w:rPr>
        <w:t>2022</w:t>
      </w:r>
      <w:r>
        <w:rPr>
          <w:rFonts w:ascii="仿宋_GB2312" w:hAnsi="微软雅黑" w:eastAsia="仿宋_GB2312" w:cs="仿宋_GB2312"/>
          <w:color w:val="000000"/>
          <w:kern w:val="0"/>
          <w:sz w:val="32"/>
          <w:szCs w:val="32"/>
          <w:highlight w:val="none"/>
          <w:shd w:val="clear" w:color="auto" w:fill="FFFFFF"/>
        </w:rPr>
        <w:t>年部门预算收支情况说明</w:t>
      </w:r>
    </w:p>
    <w:p>
      <w:pPr>
        <w:keepNext w:val="0"/>
        <w:keepLines w:val="0"/>
        <w:pageBreakBefore w:val="0"/>
        <w:widowControl/>
        <w:shd w:val="clear" w:color="auto" w:fill="FFFFFF"/>
        <w:kinsoku/>
        <w:wordWrap/>
        <w:overflowPunct/>
        <w:topLinePunct w:val="0"/>
        <w:autoSpaceDE/>
        <w:autoSpaceDN/>
        <w:bidi w:val="0"/>
        <w:adjustRightInd/>
        <w:snapToGrid/>
        <w:ind w:firstLine="1280" w:firstLineChars="400"/>
        <w:jc w:val="left"/>
        <w:textAlignment w:val="auto"/>
        <w:rPr>
          <w:rFonts w:ascii="仿宋_GB2312" w:eastAsia="仿宋_GB2312" w:cs="Times New Roman"/>
          <w:sz w:val="32"/>
          <w:szCs w:val="32"/>
          <w:highlight w:val="none"/>
        </w:rPr>
      </w:pPr>
      <w:r>
        <w:rPr>
          <w:rFonts w:ascii="仿宋_GB2312" w:hAnsi="微软雅黑" w:eastAsia="仿宋_GB2312" w:cs="仿宋_GB2312"/>
          <w:color w:val="000000"/>
          <w:kern w:val="0"/>
          <w:sz w:val="32"/>
          <w:szCs w:val="32"/>
          <w:highlight w:val="none"/>
          <w:shd w:val="clear" w:color="auto" w:fill="FFFFFF"/>
        </w:rPr>
        <w:t>二、</w:t>
      </w:r>
      <w:r>
        <w:rPr>
          <w:rFonts w:hint="eastAsia" w:ascii="仿宋_GB2312" w:hAnsi="微软雅黑" w:eastAsia="仿宋_GB2312" w:cs="仿宋_GB2312"/>
          <w:color w:val="000000"/>
          <w:kern w:val="0"/>
          <w:sz w:val="32"/>
          <w:szCs w:val="32"/>
          <w:highlight w:val="none"/>
          <w:shd w:val="clear" w:color="auto" w:fill="FFFFFF"/>
        </w:rPr>
        <w:t>2022</w:t>
      </w:r>
      <w:r>
        <w:rPr>
          <w:rFonts w:ascii="仿宋_GB2312" w:hAnsi="微软雅黑" w:eastAsia="仿宋_GB2312" w:cs="仿宋_GB2312"/>
          <w:color w:val="000000"/>
          <w:kern w:val="0"/>
          <w:sz w:val="32"/>
          <w:szCs w:val="32"/>
          <w:highlight w:val="none"/>
          <w:shd w:val="clear" w:color="auto" w:fill="FFFFFF"/>
        </w:rPr>
        <w:t>年</w:t>
      </w:r>
      <w:r>
        <w:rPr>
          <w:rFonts w:hint="eastAsia" w:ascii="仿宋_GB2312" w:hAnsi="微软雅黑" w:eastAsia="仿宋_GB2312" w:cs="仿宋_GB2312"/>
          <w:color w:val="000000"/>
          <w:kern w:val="0"/>
          <w:sz w:val="32"/>
          <w:szCs w:val="32"/>
          <w:highlight w:val="none"/>
          <w:shd w:val="clear" w:color="auto" w:fill="FFFFFF"/>
        </w:rPr>
        <w:t>“</w:t>
      </w:r>
      <w:r>
        <w:rPr>
          <w:rFonts w:ascii="仿宋_GB2312" w:hAnsi="微软雅黑" w:eastAsia="仿宋_GB2312" w:cs="仿宋_GB2312"/>
          <w:color w:val="000000"/>
          <w:kern w:val="0"/>
          <w:sz w:val="32"/>
          <w:szCs w:val="32"/>
          <w:highlight w:val="none"/>
          <w:shd w:val="clear" w:color="auto" w:fill="FFFFFF"/>
        </w:rPr>
        <w:t>三公</w:t>
      </w:r>
      <w:r>
        <w:rPr>
          <w:rFonts w:hint="eastAsia" w:ascii="仿宋_GB2312" w:hAnsi="微软雅黑" w:eastAsia="仿宋_GB2312" w:cs="仿宋_GB2312"/>
          <w:color w:val="000000"/>
          <w:kern w:val="0"/>
          <w:sz w:val="32"/>
          <w:szCs w:val="32"/>
          <w:highlight w:val="none"/>
          <w:shd w:val="clear" w:color="auto" w:fill="FFFFFF"/>
        </w:rPr>
        <w:t>”</w:t>
      </w:r>
      <w:r>
        <w:rPr>
          <w:rFonts w:ascii="仿宋_GB2312" w:hAnsi="微软雅黑" w:eastAsia="仿宋_GB2312" w:cs="仿宋_GB2312"/>
          <w:color w:val="000000"/>
          <w:kern w:val="0"/>
          <w:sz w:val="32"/>
          <w:szCs w:val="32"/>
          <w:highlight w:val="none"/>
          <w:shd w:val="clear" w:color="auto" w:fill="FFFFFF"/>
        </w:rPr>
        <w:t>经费</w:t>
      </w:r>
      <w:r>
        <w:rPr>
          <w:rFonts w:hint="eastAsia" w:ascii="仿宋_GB2312" w:hAnsi="微软雅黑" w:eastAsia="仿宋_GB2312" w:cs="仿宋_GB2312"/>
          <w:color w:val="000000"/>
          <w:kern w:val="0"/>
          <w:sz w:val="32"/>
          <w:szCs w:val="32"/>
          <w:highlight w:val="none"/>
          <w:shd w:val="clear" w:color="auto" w:fill="FFFFFF"/>
        </w:rPr>
        <w:t>预算情况</w:t>
      </w:r>
      <w:r>
        <w:rPr>
          <w:rFonts w:ascii="仿宋_GB2312" w:hAnsi="微软雅黑" w:eastAsia="仿宋_GB2312" w:cs="仿宋_GB2312"/>
          <w:color w:val="000000"/>
          <w:kern w:val="0"/>
          <w:sz w:val="32"/>
          <w:szCs w:val="32"/>
          <w:highlight w:val="none"/>
          <w:shd w:val="clear" w:color="auto" w:fill="FFFFFF"/>
        </w:rPr>
        <w:t>说明</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第三部分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农业技术推广中心2022年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一、《收支预算总表》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收入总表》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三、《</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支出总表》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四、《财政拨款收支总表》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五、《一般公共预算支出表》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六、《一般公共预算基本支出表》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七、《财政拨款“三公”经费支出表》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八、《政府性基金预算支出表》</w:t>
      </w:r>
    </w:p>
    <w:p>
      <w:pPr>
        <w:pStyle w:val="12"/>
        <w:tabs>
          <w:tab w:val="left" w:pos="6546"/>
        </w:tabs>
        <w:spacing w:line="54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九、</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部门整体支出绩效目标表</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ab/>
      </w:r>
    </w:p>
    <w:p>
      <w:pPr>
        <w:pStyle w:val="12"/>
        <w:tabs>
          <w:tab w:val="left" w:pos="6546"/>
        </w:tabs>
        <w:spacing w:line="56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项目绩效目标表</w:t>
      </w:r>
      <w:r>
        <w:rPr>
          <w:rFonts w:ascii="Adobe 仿宋 Std R" w:hAnsi="Adobe 仿宋 Std R" w:eastAsia="Adobe 仿宋 Std R"/>
          <w:kern w:val="2"/>
          <w:sz w:val="32"/>
          <w:szCs w:val="30"/>
        </w:rPr>
        <w:t>》</w:t>
      </w:r>
    </w:p>
    <w:p>
      <w:pPr>
        <w:rPr>
          <w:rFonts w:hint="eastAsia" w:ascii="黑体" w:hAnsi="宋体" w:eastAsia="黑体" w:cs="黑体"/>
          <w:sz w:val="32"/>
          <w:szCs w:val="32"/>
          <w:highlight w:val="none"/>
        </w:rPr>
      </w:pPr>
      <w:r>
        <w:rPr>
          <w:rFonts w:ascii="仿宋_GB2312" w:hAnsi="宋体" w:eastAsia="仿宋_GB2312" w:cs="仿宋_GB2312"/>
          <w:sz w:val="32"/>
          <w:szCs w:val="32"/>
          <w:highlight w:val="none"/>
        </w:rPr>
        <w:t xml:space="preserve">   </w:t>
      </w:r>
      <w:r>
        <w:rPr>
          <w:rFonts w:hint="eastAsia" w:ascii="黑体" w:hAnsi="宋体" w:eastAsia="黑体" w:cs="黑体"/>
          <w:sz w:val="32"/>
          <w:szCs w:val="32"/>
          <w:highlight w:val="none"/>
        </w:rPr>
        <w:t>第四部分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名词解释</w:t>
      </w:r>
    </w:p>
    <w:p>
      <w:pPr>
        <w:rPr>
          <w:rFonts w:hint="eastAsia" w:ascii="黑体" w:hAnsi="宋体" w:eastAsia="黑体" w:cs="黑体"/>
          <w:sz w:val="32"/>
          <w:szCs w:val="32"/>
          <w:highlight w:val="none"/>
        </w:rPr>
      </w:pPr>
    </w:p>
    <w:p>
      <w:pPr>
        <w:rPr>
          <w:rFonts w:hint="eastAsia" w:ascii="黑体" w:hAnsi="宋体" w:eastAsia="黑体" w:cs="黑体"/>
          <w:sz w:val="32"/>
          <w:szCs w:val="32"/>
          <w:highlight w:val="none"/>
        </w:rPr>
      </w:pPr>
    </w:p>
    <w:p>
      <w:pPr>
        <w:rPr>
          <w:rFonts w:ascii="黑体" w:hAnsi="宋体" w:eastAsia="黑体" w:cs="Times New Roman"/>
          <w:sz w:val="32"/>
          <w:szCs w:val="32"/>
          <w:highlight w:val="none"/>
        </w:rPr>
      </w:pPr>
      <w:r>
        <w:rPr>
          <w:rFonts w:hint="eastAsia" w:ascii="黑体" w:hAnsi="宋体" w:eastAsia="黑体" w:cs="黑体"/>
          <w:sz w:val="32"/>
          <w:szCs w:val="32"/>
          <w:highlight w:val="none"/>
        </w:rPr>
        <w:t>第一部分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景德镇市农业技术推广中心概况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黑体" w:eastAsia="黑体" w:cs="Times New Roman"/>
          <w:sz w:val="32"/>
          <w:szCs w:val="32"/>
          <w:highlight w:val="none"/>
        </w:rPr>
      </w:pPr>
      <w:r>
        <w:rPr>
          <w:rFonts w:hint="eastAsia" w:ascii="黑体" w:hAnsi="宋体" w:eastAsia="黑体" w:cs="黑体"/>
          <w:sz w:val="32"/>
          <w:szCs w:val="32"/>
          <w:highlight w:val="none"/>
        </w:rPr>
        <w:t>一、</w:t>
      </w:r>
      <w:r>
        <w:rPr>
          <w:rFonts w:hint="eastAsia" w:ascii="仿宋_GB2312" w:hAnsi="宋体" w:eastAsia="仿宋_GB2312" w:cs="仿宋_GB2312"/>
          <w:sz w:val="32"/>
          <w:szCs w:val="32"/>
          <w:highlight w:val="none"/>
          <w:lang w:eastAsia="zh-CN"/>
        </w:rPr>
        <w:t>单位</w:t>
      </w:r>
      <w:r>
        <w:rPr>
          <w:rFonts w:hint="eastAsia" w:ascii="仿宋_GB2312" w:hAnsi="宋体" w:eastAsia="仿宋_GB2312" w:cs="仿宋_GB2312"/>
          <w:sz w:val="32"/>
          <w:szCs w:val="32"/>
          <w:highlight w:val="none"/>
        </w:rPr>
        <w:t>主要职责</w:t>
      </w:r>
    </w:p>
    <w:p>
      <w:pPr>
        <w:ind w:firstLine="640" w:firstLineChars="200"/>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bCs/>
          <w:sz w:val="32"/>
          <w:szCs w:val="32"/>
          <w:highlight w:val="none"/>
        </w:rPr>
        <w:t>景德镇市农业技术推广中心</w:t>
      </w:r>
      <w:r>
        <w:rPr>
          <w:rFonts w:hint="eastAsia" w:ascii="仿宋_GB2312" w:hAnsi="宋体" w:eastAsia="仿宋_GB2312" w:cs="仿宋_GB2312"/>
          <w:sz w:val="32"/>
          <w:szCs w:val="32"/>
          <w:highlight w:val="none"/>
        </w:rPr>
        <w:t>是市农业农村局下属</w:t>
      </w:r>
      <w:r>
        <w:rPr>
          <w:rFonts w:hint="eastAsia" w:ascii="仿宋_GB2312" w:hAnsi="宋体" w:eastAsia="仿宋_GB2312" w:cs="仿宋_GB2312"/>
          <w:sz w:val="32"/>
          <w:szCs w:val="32"/>
          <w:highlight w:val="none"/>
          <w:lang w:eastAsia="zh-CN"/>
        </w:rPr>
        <w:t>二级全额事业单位</w:t>
      </w:r>
      <w:r>
        <w:rPr>
          <w:rFonts w:hint="eastAsia" w:ascii="仿宋_GB2312" w:hAnsi="宋体" w:eastAsia="仿宋_GB2312" w:cs="仿宋_GB2312"/>
          <w:sz w:val="32"/>
          <w:szCs w:val="32"/>
          <w:highlight w:val="none"/>
        </w:rPr>
        <w:t>，主要职责</w:t>
      </w:r>
      <w:r>
        <w:rPr>
          <w:rFonts w:hint="eastAsia" w:ascii="仿宋_GB2312" w:hAnsi="宋体" w:eastAsia="仿宋_GB2312" w:cs="仿宋_GB2312"/>
          <w:sz w:val="32"/>
          <w:szCs w:val="32"/>
          <w:highlight w:val="none"/>
          <w:lang w:val="en-US" w:eastAsia="zh-CN"/>
        </w:rPr>
        <w:t>:</w:t>
      </w:r>
    </w:p>
    <w:p>
      <w:pPr>
        <w:ind w:firstLine="640" w:firstLineChars="200"/>
        <w:rPr>
          <w:rFonts w:hint="eastAsia" w:ascii="仿宋_GB2312" w:hAnsi="宋体" w:eastAsia="仿宋_GB2312" w:cs="仿宋_GB2312"/>
          <w:sz w:val="32"/>
          <w:szCs w:val="32"/>
          <w:highlight w:val="none"/>
        </w:rPr>
      </w:pPr>
      <w:bookmarkStart w:id="0" w:name="_GoBack"/>
      <w:bookmarkEnd w:id="0"/>
      <w:r>
        <w:rPr>
          <w:rFonts w:hint="eastAsia" w:ascii="仿宋_GB2312" w:hAnsi="宋体" w:eastAsia="仿宋_GB2312" w:cs="仿宋_GB2312"/>
          <w:sz w:val="32"/>
          <w:szCs w:val="32"/>
          <w:highlight w:val="none"/>
        </w:rPr>
        <w:t>1、承担农作物、水产、农药、药械等新品种（新产品）、新技术的引进试验及示范推广等工作。</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2、承担农作物种子质量检验、种业服务、种质资源保护与开发、农业植物保护和检疫等工作。</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3、承担科学施肥节水等技术支撑工作；承担肥料管理的事务性工作；承担土、肥、水项目及耕地质量建设项目的组织实施；承担肥料使用安全性和有效性试验及监测评价；承担耕地质量监测体系建设及调查监测与评价等工作；</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4、承担水生动物病害、农作物病虫害防治及疫情测报工作；</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5、承担渔业环境监测评价工作；参与水产品价格信息的收集分析；承担渔业信息系统建设和管理工作。</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6、承担种植业、养殖业等农业技术培训、信息服务工作；指导农技推广体系建设和农技服务。</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7、负责生态农业建设、农业面源污染防治、农村可再生能源开发利用、节能减排、农业清洁生产等的技术支撑工作；</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8、承担市农业农村局交办的其他工作。</w:t>
      </w:r>
    </w:p>
    <w:p>
      <w:pPr>
        <w:pStyle w:val="12"/>
        <w:spacing w:line="560" w:lineRule="exac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ind w:firstLine="640" w:firstLineChars="200"/>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rPr>
        <w:t>农业技术推广中心属农业农村局下属</w:t>
      </w:r>
      <w:r>
        <w:rPr>
          <w:rFonts w:hint="eastAsia" w:ascii="仿宋_GB2312" w:hAnsi="宋体" w:eastAsia="仿宋_GB2312" w:cs="仿宋_GB2312"/>
          <w:sz w:val="32"/>
          <w:szCs w:val="32"/>
          <w:highlight w:val="none"/>
          <w:lang w:val="en-US" w:eastAsia="zh-CN"/>
        </w:rPr>
        <w:t>二级</w:t>
      </w:r>
      <w:r>
        <w:rPr>
          <w:rFonts w:hint="eastAsia" w:ascii="仿宋_GB2312" w:hAnsi="宋体" w:eastAsia="仿宋_GB2312" w:cs="仿宋_GB2312"/>
          <w:sz w:val="32"/>
          <w:szCs w:val="32"/>
          <w:highlight w:val="none"/>
        </w:rPr>
        <w:t>预算单位</w:t>
      </w:r>
      <w:r>
        <w:rPr>
          <w:rFonts w:hint="eastAsia" w:ascii="仿宋_GB2312" w:hAnsi="宋体" w:eastAsia="仿宋_GB2312" w:cs="仿宋_GB2312"/>
          <w:sz w:val="32"/>
          <w:szCs w:val="32"/>
          <w:highlight w:val="none"/>
          <w:lang w:eastAsia="zh-CN"/>
        </w:rPr>
        <w:t>，单位内设</w:t>
      </w:r>
      <w:r>
        <w:rPr>
          <w:rFonts w:hint="eastAsia" w:ascii="仿宋_GB2312" w:hAnsi="宋体" w:eastAsia="仿宋_GB2312" w:cs="仿宋_GB2312"/>
          <w:sz w:val="32"/>
          <w:szCs w:val="32"/>
          <w:highlight w:val="none"/>
          <w:lang w:val="en-US" w:eastAsia="zh-CN"/>
        </w:rPr>
        <w:t>4个科室，分别为：</w:t>
      </w:r>
      <w:r>
        <w:rPr>
          <w:rFonts w:hint="eastAsia" w:ascii="仿宋_GB2312" w:hAnsi="宋体" w:eastAsia="仿宋_GB2312" w:cs="仿宋_GB2312"/>
          <w:sz w:val="32"/>
          <w:szCs w:val="32"/>
          <w:highlight w:val="none"/>
          <w:lang w:eastAsia="zh-CN"/>
        </w:rPr>
        <w:t>综合室，植保室，土肥室，渔政室四个科室。</w:t>
      </w:r>
    </w:p>
    <w:p>
      <w:pPr>
        <w:ind w:firstLine="640" w:firstLineChars="200"/>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编制数为21人，其中行政编制0人、全额补助事业编制21人、部分补助事业编制0人、自收自支事业编制0人；实有人数</w:t>
      </w:r>
      <w:r>
        <w:rPr>
          <w:rFonts w:hint="eastAsia" w:ascii="仿宋_GB2312" w:hAnsi="宋体" w:eastAsia="仿宋_GB2312" w:cs="仿宋_GB2312"/>
          <w:sz w:val="32"/>
          <w:szCs w:val="32"/>
          <w:highlight w:val="none"/>
          <w:lang w:val="en-US" w:eastAsia="zh-CN"/>
        </w:rPr>
        <w:t>34</w:t>
      </w:r>
      <w:r>
        <w:rPr>
          <w:rFonts w:hint="eastAsia" w:ascii="仿宋_GB2312" w:hAnsi="宋体" w:eastAsia="仿宋_GB2312" w:cs="仿宋_GB2312"/>
          <w:sz w:val="32"/>
          <w:szCs w:val="32"/>
          <w:highlight w:val="none"/>
        </w:rPr>
        <w:t>人，其中在职人数为21人，包括行政人员0人、全额补助事业人员21人、部分补助事业编人员0人、自收自支事业人员0 人；离休人员0人；退休人员12人；遗属人数1人。</w:t>
      </w:r>
    </w:p>
    <w:p>
      <w:pPr>
        <w:rPr>
          <w:rFonts w:ascii="黑体" w:hAnsi="宋体" w:eastAsia="黑体" w:cs="Times New Roman"/>
          <w:sz w:val="32"/>
          <w:szCs w:val="32"/>
          <w:highlight w:val="none"/>
        </w:rPr>
      </w:pPr>
      <w:r>
        <w:rPr>
          <w:rFonts w:hint="eastAsia" w:ascii="黑体" w:hAnsi="宋体" w:eastAsia="黑体" w:cs="黑体"/>
          <w:sz w:val="32"/>
          <w:szCs w:val="32"/>
          <w:highlight w:val="none"/>
        </w:rPr>
        <w:t>第二部分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农业技术推广中心2022年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预算情况说明</w:t>
      </w:r>
    </w:p>
    <w:p>
      <w:pPr>
        <w:ind w:firstLine="643" w:firstLineChars="20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rPr>
        <w:t>一、2022年</w:t>
      </w:r>
      <w:r>
        <w:rPr>
          <w:rFonts w:hint="eastAsia" w:ascii="仿宋_GB2312" w:hAnsi="宋体" w:eastAsia="仿宋_GB2312" w:cs="仿宋_GB2312"/>
          <w:b/>
          <w:bCs/>
          <w:sz w:val="32"/>
          <w:szCs w:val="32"/>
          <w:highlight w:val="none"/>
          <w:lang w:eastAsia="zh-CN"/>
        </w:rPr>
        <w:t>单位</w:t>
      </w:r>
      <w:r>
        <w:rPr>
          <w:rFonts w:hint="eastAsia" w:ascii="仿宋_GB2312" w:hAnsi="宋体" w:eastAsia="仿宋_GB2312" w:cs="仿宋_GB2312"/>
          <w:b/>
          <w:bCs/>
          <w:sz w:val="32"/>
          <w:szCs w:val="32"/>
          <w:highlight w:val="none"/>
        </w:rPr>
        <w:t>预算收支情况说明</w:t>
      </w:r>
    </w:p>
    <w:p>
      <w:pPr>
        <w:ind w:firstLine="482" w:firstLineChars="15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rPr>
        <w:t>（一）预算收入情况</w:t>
      </w:r>
    </w:p>
    <w:p>
      <w:pPr>
        <w:ind w:firstLine="6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2022年农业技术推广中心收入预算总额为445.59万元，与上年预算相比增加50.96万元，主要原因：机构改革，四家单位合并成立新单位，人员经费及项目增加。其中：当年财政拨款收入288.4万元，占收入预算总额的64.72</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；政府性基金拨款收入0万元，占收入预算总额的0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；事业收入0万元，占收入预算总额的0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；事业单位经营收入0万元，占收入预算总额的0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；当年其他各项收入157.19万元，占收入预算总额的35.28</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；上年结余结转收入0万元，占收入预算总额的0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p>
    <w:p>
      <w:pPr>
        <w:ind w:firstLine="482" w:firstLineChars="15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rPr>
        <w:t>（二）预算支出情况</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2022年农业技术推广中心支出预算总额为445.59万元，与上年预算相比增加50.96万元，主要由于四家单位合并，人员经费、职工养老</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医疗</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公积金等支出增加。其中：按支出项目类别划分：基本支出411.59万元，占支出预算总额的92.37</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，包括工资福利支出236.22万元、商品和服务支出29.5万元、对个人和家庭的补助145.87万元、其他资本性支出0万元；项目支出34万元，占支出总额的7.63</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，包括工资福利支出0万元、商品和服务支出34万元、对个人和家庭的补助0万元、债务利息支出0万元、基本建设支出0万元、其他资本性支出0万元、其他相关支出0万元；事业经营支出0万元，占支出预算总额的0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；对附属单位补助支出的0万元，占支出预算总额的0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；上缴上级支出0万元，占支出预算总额的0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p>
    <w:p>
      <w:pPr>
        <w:spacing w:line="560" w:lineRule="exact"/>
        <w:ind w:firstLine="600"/>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按支出功能项目科目划分：社会保障和就业支出35.67万元，占支出预算总额的8%；卫生健康支出22.13万元，占支出预算总额的4.97%；农林水支出369.96万元，占支出预算总额的83.03%；住房保障支出17.83万元，占支出预算总额的4%。</w:t>
      </w:r>
    </w:p>
    <w:p>
      <w:pPr>
        <w:spacing w:line="560" w:lineRule="exact"/>
        <w:ind w:firstLine="600"/>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按支出经济分类划分：工资福利支出236.22万元，占支出预算总额的53.01%；商品和服务支出</w:t>
      </w:r>
      <w:r>
        <w:rPr>
          <w:rFonts w:hint="eastAsia" w:ascii="仿宋_GB2312" w:hAnsi="宋体" w:eastAsia="仿宋_GB2312" w:cs="仿宋_GB2312"/>
          <w:sz w:val="32"/>
          <w:szCs w:val="32"/>
          <w:highlight w:val="none"/>
          <w:lang w:val="en-US" w:eastAsia="zh-CN"/>
        </w:rPr>
        <w:t>63.5</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14.25</w:t>
      </w:r>
      <w:r>
        <w:rPr>
          <w:rFonts w:hint="eastAsia" w:ascii="仿宋_GB2312" w:hAnsi="宋体" w:eastAsia="仿宋_GB2312" w:cs="仿宋_GB2312"/>
          <w:sz w:val="32"/>
          <w:szCs w:val="32"/>
          <w:highlight w:val="none"/>
        </w:rPr>
        <w:t>%；对个人和家庭的补助145.87万元，占支出预算总额的32.74%；资本性支出0万元，占支出预算总额的0%；对企业补助0万元，占支出预算总额的0%。</w:t>
      </w:r>
    </w:p>
    <w:p>
      <w:pPr>
        <w:ind w:firstLine="643" w:firstLineChars="200"/>
        <w:rPr>
          <w:rFonts w:ascii="仿宋_GB2312" w:eastAsia="仿宋_GB2312"/>
          <w:b/>
          <w:color w:val="000000"/>
          <w:sz w:val="32"/>
          <w:szCs w:val="30"/>
          <w:highlight w:val="none"/>
        </w:rPr>
      </w:pPr>
      <w:r>
        <w:rPr>
          <w:rFonts w:hint="eastAsia" w:ascii="仿宋_GB2312" w:hAnsi="宋体" w:eastAsia="仿宋_GB2312" w:cs="仿宋_GB2312"/>
          <w:b/>
          <w:bCs/>
          <w:sz w:val="32"/>
          <w:szCs w:val="32"/>
          <w:highlight w:val="none"/>
        </w:rPr>
        <w:t>（三）</w:t>
      </w:r>
      <w:r>
        <w:rPr>
          <w:rFonts w:hint="eastAsia" w:ascii="仿宋_GB2312" w:eastAsia="仿宋_GB2312"/>
          <w:b/>
          <w:color w:val="000000"/>
          <w:sz w:val="32"/>
          <w:szCs w:val="30"/>
          <w:highlight w:val="none"/>
        </w:rPr>
        <w:t>财政拨款支出情况</w:t>
      </w:r>
    </w:p>
    <w:p>
      <w:pPr>
        <w:shd w:val="clear" w:color="auto" w:fill="FFFFFF"/>
        <w:spacing w:line="520" w:lineRule="atLeast"/>
        <w:ind w:firstLine="560"/>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rPr>
        <w:t>2022年农业技术推广中心财政拨款支出预算288.4万元，占支出预算总额的64.72</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，与上年预算相比</w:t>
      </w:r>
      <w:r>
        <w:rPr>
          <w:rFonts w:hint="eastAsia" w:ascii="仿宋_GB2312" w:hAnsi="宋体" w:eastAsia="仿宋_GB2312" w:cs="仿宋_GB2312"/>
          <w:sz w:val="32"/>
          <w:szCs w:val="32"/>
          <w:highlight w:val="none"/>
          <w:lang w:eastAsia="zh-CN"/>
        </w:rPr>
        <w:t>增加</w:t>
      </w:r>
      <w:r>
        <w:rPr>
          <w:rFonts w:hint="eastAsia" w:ascii="仿宋_GB2312" w:hAnsi="宋体" w:eastAsia="仿宋_GB2312" w:cs="仿宋_GB2312"/>
          <w:sz w:val="32"/>
          <w:szCs w:val="32"/>
          <w:highlight w:val="none"/>
          <w:lang w:val="en-US" w:eastAsia="zh-CN"/>
        </w:rPr>
        <w:t>17.09</w:t>
      </w:r>
      <w:r>
        <w:rPr>
          <w:rFonts w:hint="eastAsia" w:ascii="仿宋_GB2312" w:hAnsi="宋体" w:eastAsia="仿宋_GB2312" w:cs="仿宋_GB2312"/>
          <w:sz w:val="32"/>
          <w:szCs w:val="32"/>
          <w:highlight w:val="none"/>
        </w:rPr>
        <w:t>万元，主要由于四家单位合并，人员经费、职工养老</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医疗</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公积金等支出增加。具体支出情况是：工资福利支付236.22万元，占财政拨款支出81.91%；尚品和服务支出16.56万元，占财政拨款支出5.74%；对个人和家庭补助支出1.62万元，占财政拨款支出0.56%；项目支出34万元，占财政拨款支出11.79</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eastAsia="zh-CN"/>
        </w:rPr>
        <w:t>。</w:t>
      </w:r>
    </w:p>
    <w:p>
      <w:pPr>
        <w:ind w:firstLine="640" w:firstLineChars="200"/>
        <w:rPr>
          <w:rFonts w:hint="eastAsia" w:ascii="仿宋_GB2312" w:hAnsi="宋体" w:eastAsia="仿宋_GB2312" w:cs="仿宋_GB2312"/>
          <w:sz w:val="32"/>
          <w:szCs w:val="32"/>
          <w:highlight w:val="none"/>
          <w:u w:val="none"/>
          <w:lang w:eastAsia="zh-CN"/>
        </w:rPr>
      </w:pPr>
      <w:r>
        <w:rPr>
          <w:rStyle w:val="13"/>
          <w:rFonts w:hint="eastAsia" w:ascii="仿宋" w:hAnsi="仿宋" w:eastAsia="仿宋"/>
          <w:sz w:val="32"/>
          <w:szCs w:val="32"/>
          <w:highlight w:val="none"/>
          <w:u w:val="none"/>
        </w:rPr>
        <w:t>按支出项目类别划分：</w:t>
      </w:r>
      <w:r>
        <w:rPr>
          <w:rStyle w:val="13"/>
          <w:rFonts w:ascii="仿宋" w:hAnsi="仿宋" w:eastAsia="仿宋"/>
          <w:sz w:val="32"/>
          <w:szCs w:val="32"/>
          <w:highlight w:val="none"/>
          <w:u w:val="none"/>
        </w:rPr>
        <w:t xml:space="preserve"> </w:t>
      </w:r>
      <w:r>
        <w:rPr>
          <w:rStyle w:val="13"/>
          <w:rFonts w:ascii="仿宋" w:hAnsi="仿宋" w:eastAsia="仿宋"/>
          <w:sz w:val="32"/>
          <w:szCs w:val="32"/>
          <w:highlight w:val="none"/>
          <w:u w:val="none"/>
        </w:rPr>
        <w:fldChar w:fldCharType="begin"/>
      </w:r>
      <w:r>
        <w:rPr>
          <w:rStyle w:val="13"/>
          <w:rFonts w:ascii="仿宋" w:hAnsi="仿宋" w:eastAsia="仿宋"/>
          <w:sz w:val="32"/>
          <w:szCs w:val="32"/>
          <w:highlight w:val="none"/>
          <w:u w:val="none"/>
        </w:rPr>
        <w:instrText xml:space="preserve">MERGEFIELD ${page540426799.ds357974894_REP_BGT_T_HC1100002019_DXQ02DW_JBZCQKCB}</w:instrText>
      </w:r>
      <w:r>
        <w:rPr>
          <w:rStyle w:val="13"/>
          <w:rFonts w:ascii="仿宋" w:hAnsi="仿宋" w:eastAsia="仿宋"/>
          <w:sz w:val="32"/>
          <w:szCs w:val="32"/>
          <w:highlight w:val="none"/>
          <w:u w:val="none"/>
        </w:rPr>
        <w:fldChar w:fldCharType="separate"/>
      </w:r>
      <w:r>
        <w:rPr>
          <w:rStyle w:val="13"/>
          <w:rFonts w:ascii="仿宋" w:hAnsi="仿宋" w:eastAsia="仿宋"/>
          <w:sz w:val="32"/>
          <w:szCs w:val="32"/>
          <w:highlight w:val="none"/>
          <w:u w:val="none"/>
        </w:rPr>
        <w:t>基本支出</w:t>
      </w:r>
      <w:r>
        <w:rPr>
          <w:rFonts w:hint="eastAsia" w:ascii="仿宋_GB2312" w:eastAsia="仿宋_GB2312"/>
          <w:sz w:val="32"/>
          <w:szCs w:val="30"/>
          <w:highlight w:val="none"/>
          <w:u w:val="none"/>
          <w:lang w:val="en-US" w:eastAsia="zh-CN"/>
        </w:rPr>
        <w:t>254.40</w:t>
      </w:r>
      <w:r>
        <w:rPr>
          <w:rStyle w:val="13"/>
          <w:rFonts w:ascii="仿宋" w:hAnsi="仿宋" w:eastAsia="仿宋"/>
          <w:sz w:val="32"/>
          <w:szCs w:val="32"/>
          <w:highlight w:val="none"/>
          <w:u w:val="none"/>
        </w:rPr>
        <w:t>万元,较上年预算安排增加</w:t>
      </w:r>
      <w:r>
        <w:rPr>
          <w:rStyle w:val="13"/>
          <w:rFonts w:hint="eastAsia" w:ascii="仿宋" w:hAnsi="仿宋" w:eastAsia="仿宋"/>
          <w:sz w:val="32"/>
          <w:szCs w:val="32"/>
          <w:highlight w:val="none"/>
          <w:u w:val="none"/>
          <w:lang w:val="en-US" w:eastAsia="zh-CN"/>
        </w:rPr>
        <w:t>17.09</w:t>
      </w:r>
      <w:r>
        <w:rPr>
          <w:rStyle w:val="13"/>
          <w:rFonts w:ascii="仿宋" w:hAnsi="仿宋" w:eastAsia="仿宋"/>
          <w:sz w:val="32"/>
          <w:szCs w:val="32"/>
          <w:highlight w:val="none"/>
          <w:u w:val="none"/>
        </w:rPr>
        <w:t>万元;其中：工资福利支出</w:t>
      </w:r>
      <w:r>
        <w:rPr>
          <w:rFonts w:hint="eastAsia" w:ascii="仿宋_GB2312" w:eastAsia="仿宋_GB2312"/>
          <w:sz w:val="32"/>
          <w:szCs w:val="30"/>
          <w:highlight w:val="none"/>
          <w:u w:val="none"/>
          <w:lang w:val="en-US" w:eastAsia="zh-CN"/>
        </w:rPr>
        <w:t>236.22</w:t>
      </w:r>
      <w:r>
        <w:rPr>
          <w:rStyle w:val="13"/>
          <w:rFonts w:ascii="仿宋" w:hAnsi="仿宋" w:eastAsia="仿宋"/>
          <w:sz w:val="32"/>
          <w:szCs w:val="32"/>
          <w:highlight w:val="none"/>
          <w:u w:val="none"/>
        </w:rPr>
        <w:t>万元,商品和服务支出</w:t>
      </w:r>
      <w:r>
        <w:rPr>
          <w:rFonts w:hint="eastAsia" w:ascii="仿宋_GB2312" w:eastAsia="仿宋_GB2312"/>
          <w:sz w:val="32"/>
          <w:szCs w:val="30"/>
          <w:highlight w:val="none"/>
          <w:u w:val="none"/>
          <w:lang w:val="en-US" w:eastAsia="zh-CN"/>
        </w:rPr>
        <w:t>16.56</w:t>
      </w:r>
      <w:r>
        <w:rPr>
          <w:rStyle w:val="13"/>
          <w:rFonts w:ascii="仿宋" w:hAnsi="仿宋" w:eastAsia="仿宋"/>
          <w:sz w:val="32"/>
          <w:szCs w:val="32"/>
          <w:highlight w:val="none"/>
          <w:u w:val="none"/>
        </w:rPr>
        <w:t>万元,对个人和家庭的补助</w:t>
      </w:r>
      <w:r>
        <w:rPr>
          <w:rFonts w:hint="eastAsia" w:ascii="仿宋_GB2312" w:eastAsia="仿宋_GB2312"/>
          <w:sz w:val="32"/>
          <w:szCs w:val="30"/>
          <w:highlight w:val="none"/>
          <w:u w:val="none"/>
          <w:lang w:val="en-US" w:eastAsia="zh-CN"/>
        </w:rPr>
        <w:t>1.62</w:t>
      </w:r>
      <w:r>
        <w:rPr>
          <w:rStyle w:val="13"/>
          <w:rFonts w:ascii="仿宋" w:hAnsi="仿宋" w:eastAsia="仿宋"/>
          <w:sz w:val="32"/>
          <w:szCs w:val="32"/>
          <w:highlight w:val="none"/>
          <w:u w:val="none"/>
        </w:rPr>
        <w:t>万元。</w:t>
      </w:r>
      <w:r>
        <w:rPr>
          <w:highlight w:val="none"/>
          <w:u w:val="none"/>
        </w:rPr>
        <w:fldChar w:fldCharType="end"/>
      </w:r>
      <w:r>
        <w:rPr>
          <w:rStyle w:val="13"/>
          <w:rFonts w:ascii="仿宋" w:hAnsi="仿宋" w:eastAsia="仿宋"/>
          <w:sz w:val="32"/>
          <w:szCs w:val="32"/>
          <w:highlight w:val="none"/>
          <w:u w:val="none"/>
        </w:rPr>
        <w:fldChar w:fldCharType="begin"/>
      </w:r>
      <w:r>
        <w:rPr>
          <w:rStyle w:val="13"/>
          <w:rFonts w:ascii="仿宋" w:hAnsi="仿宋" w:eastAsia="仿宋"/>
          <w:sz w:val="32"/>
          <w:szCs w:val="32"/>
          <w:highlight w:val="none"/>
          <w:u w:val="none"/>
        </w:rPr>
        <w:instrText xml:space="preserve">MERGEFIELD ${page540426799.ds357974894_REP_BGT_T_HC1100002019_DXQ02DW_XMZCQKCB}</w:instrText>
      </w:r>
      <w:r>
        <w:rPr>
          <w:rStyle w:val="13"/>
          <w:rFonts w:ascii="仿宋" w:hAnsi="仿宋" w:eastAsia="仿宋"/>
          <w:sz w:val="32"/>
          <w:szCs w:val="32"/>
          <w:highlight w:val="none"/>
          <w:u w:val="none"/>
        </w:rPr>
        <w:fldChar w:fldCharType="separate"/>
      </w:r>
      <w:r>
        <w:rPr>
          <w:rStyle w:val="13"/>
          <w:rFonts w:ascii="仿宋" w:hAnsi="仿宋" w:eastAsia="仿宋"/>
          <w:sz w:val="32"/>
          <w:szCs w:val="32"/>
          <w:highlight w:val="none"/>
          <w:u w:val="none"/>
        </w:rPr>
        <w:t>项目支出</w:t>
      </w:r>
      <w:r>
        <w:rPr>
          <w:rFonts w:hint="eastAsia" w:ascii="仿宋_GB2312" w:eastAsia="仿宋_GB2312"/>
          <w:sz w:val="32"/>
          <w:szCs w:val="30"/>
          <w:highlight w:val="none"/>
          <w:u w:val="none"/>
          <w:lang w:val="en-US" w:eastAsia="zh-CN"/>
        </w:rPr>
        <w:t>34</w:t>
      </w:r>
      <w:r>
        <w:rPr>
          <w:rStyle w:val="13"/>
          <w:rFonts w:ascii="仿宋" w:hAnsi="仿宋" w:eastAsia="仿宋"/>
          <w:sz w:val="32"/>
          <w:szCs w:val="32"/>
          <w:highlight w:val="none"/>
          <w:u w:val="none"/>
        </w:rPr>
        <w:t>万元,较上年预算安排增加（减少）</w:t>
      </w:r>
      <w:r>
        <w:rPr>
          <w:rFonts w:hint="eastAsia" w:ascii="仿宋_GB2312" w:eastAsia="仿宋_GB2312"/>
          <w:sz w:val="32"/>
          <w:szCs w:val="30"/>
          <w:highlight w:val="none"/>
          <w:u w:val="none"/>
          <w:lang w:val="en-US" w:eastAsia="zh-CN"/>
        </w:rPr>
        <w:t>0</w:t>
      </w:r>
      <w:r>
        <w:rPr>
          <w:rStyle w:val="13"/>
          <w:rFonts w:ascii="仿宋" w:hAnsi="仿宋" w:eastAsia="仿宋"/>
          <w:sz w:val="32"/>
          <w:szCs w:val="32"/>
          <w:highlight w:val="none"/>
          <w:u w:val="none"/>
        </w:rPr>
        <w:t>万元;其中：商品和服务支出</w:t>
      </w:r>
      <w:r>
        <w:rPr>
          <w:rFonts w:hint="eastAsia" w:ascii="仿宋_GB2312" w:eastAsia="仿宋_GB2312"/>
          <w:sz w:val="32"/>
          <w:szCs w:val="30"/>
          <w:highlight w:val="none"/>
          <w:u w:val="none"/>
          <w:lang w:val="en-US" w:eastAsia="zh-CN"/>
        </w:rPr>
        <w:t>34</w:t>
      </w:r>
      <w:r>
        <w:rPr>
          <w:rStyle w:val="13"/>
          <w:rFonts w:ascii="仿宋" w:hAnsi="仿宋" w:eastAsia="仿宋"/>
          <w:sz w:val="32"/>
          <w:szCs w:val="32"/>
          <w:highlight w:val="none"/>
          <w:u w:val="none"/>
        </w:rPr>
        <w:t>万元,资本性支出</w:t>
      </w:r>
      <w:r>
        <w:rPr>
          <w:rFonts w:hint="eastAsia" w:ascii="仿宋_GB2312" w:eastAsia="仿宋_GB2312"/>
          <w:sz w:val="32"/>
          <w:szCs w:val="30"/>
          <w:highlight w:val="none"/>
          <w:u w:val="none"/>
          <w:lang w:val="en-US" w:eastAsia="zh-CN"/>
        </w:rPr>
        <w:t>0</w:t>
      </w:r>
      <w:r>
        <w:rPr>
          <w:rStyle w:val="13"/>
          <w:rFonts w:ascii="仿宋" w:hAnsi="仿宋" w:eastAsia="仿宋"/>
          <w:sz w:val="32"/>
          <w:szCs w:val="32"/>
          <w:highlight w:val="none"/>
          <w:u w:val="none"/>
        </w:rPr>
        <w:t>万元。</w:t>
      </w:r>
      <w:r>
        <w:rPr>
          <w:highlight w:val="none"/>
          <w:u w:val="none"/>
        </w:rPr>
        <w:fldChar w:fldCharType="end"/>
      </w:r>
    </w:p>
    <w:p>
      <w:pPr>
        <w:shd w:val="clear" w:color="auto" w:fill="FFFFFF"/>
        <w:spacing w:line="520" w:lineRule="atLeast"/>
        <w:ind w:firstLine="56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rPr>
        <w:t>（五）政府基金收支情况</w:t>
      </w:r>
    </w:p>
    <w:p>
      <w:pPr>
        <w:ind w:firstLine="640" w:firstLineChars="200"/>
        <w:rPr>
          <w:rStyle w:val="13"/>
          <w:rFonts w:ascii="Adobe 仿宋 Std R" w:hAnsi="Adobe 仿宋 Std R" w:eastAsia="Adobe 仿宋 Std R"/>
          <w:b/>
          <w:sz w:val="32"/>
          <w:szCs w:val="32"/>
        </w:rPr>
      </w:pPr>
      <w:r>
        <w:rPr>
          <w:rFonts w:hint="eastAsia" w:ascii="仿宋_GB2312" w:hAnsi="宋体" w:eastAsia="仿宋_GB2312" w:cs="仿宋_GB2312"/>
          <w:sz w:val="32"/>
          <w:szCs w:val="32"/>
          <w:highlight w:val="none"/>
        </w:rPr>
        <w:t>2022年景德镇市农业技术推广中心无政府基金收支预算。</w:t>
      </w:r>
      <w:r>
        <w:rPr>
          <w:rStyle w:val="13"/>
          <w:rFonts w:hint="eastAsia" w:ascii="Adobe 仿宋 Std R" w:hAnsi="Adobe 仿宋 Std R" w:eastAsia="Adobe 仿宋 Std R"/>
          <w:b/>
          <w:sz w:val="32"/>
          <w:szCs w:val="32"/>
        </w:rPr>
        <w:t>(四)政府性基金情况</w:t>
      </w:r>
    </w:p>
    <w:p>
      <w:pPr>
        <w:ind w:firstLine="640" w:firstLineChars="200"/>
        <w:rPr>
          <w:rStyle w:val="13"/>
          <w:rFonts w:hint="eastAsia" w:ascii="仿宋" w:hAnsi="仿宋" w:eastAsia="仿宋"/>
          <w:b w:val="0"/>
          <w:bCs/>
          <w:sz w:val="32"/>
          <w:szCs w:val="32"/>
          <w:lang w:eastAsia="zh-CN"/>
        </w:rPr>
      </w:pPr>
      <w:r>
        <w:rPr>
          <w:rStyle w:val="13"/>
          <w:rFonts w:hint="eastAsia" w:ascii="仿宋" w:hAnsi="仿宋" w:eastAsia="仿宋"/>
          <w:b w:val="0"/>
          <w:bCs/>
          <w:sz w:val="32"/>
          <w:szCs w:val="32"/>
        </w:rPr>
        <w:t>本单位没有使用政府性基金预算拨款安排的支出</w:t>
      </w:r>
      <w:r>
        <w:rPr>
          <w:rStyle w:val="13"/>
          <w:rFonts w:hint="eastAsia" w:ascii="仿宋" w:hAnsi="仿宋" w:eastAsia="仿宋"/>
          <w:b w:val="0"/>
          <w:bCs/>
          <w:sz w:val="32"/>
          <w:szCs w:val="32"/>
          <w:lang w:eastAsia="zh-CN"/>
        </w:rPr>
        <w:t>。</w:t>
      </w:r>
    </w:p>
    <w:p>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（五）国有资本经营情况</w:t>
      </w:r>
    </w:p>
    <w:p>
      <w:pPr>
        <w:ind w:firstLine="640" w:firstLineChars="200"/>
        <w:rPr>
          <w:highlight w:val="yellow"/>
        </w:rPr>
      </w:pPr>
      <w:r>
        <w:rPr>
          <w:rStyle w:val="13"/>
          <w:rFonts w:hint="eastAsia" w:ascii="仿宋" w:hAnsi="仿宋" w:eastAsia="仿宋"/>
          <w:b w:val="0"/>
          <w:bCs/>
          <w:sz w:val="32"/>
          <w:szCs w:val="32"/>
        </w:rPr>
        <w:t>本单位没有使用国有资本经营预算拨款安排的支出</w:t>
      </w:r>
      <w:r>
        <w:rPr>
          <w:rStyle w:val="13"/>
          <w:rFonts w:hint="eastAsia" w:ascii="仿宋" w:hAnsi="仿宋" w:eastAsia="仿宋"/>
          <w:b w:val="0"/>
          <w:bCs/>
          <w:sz w:val="32"/>
          <w:szCs w:val="32"/>
          <w:lang w:eastAsia="zh-CN"/>
        </w:rPr>
        <w:t>。</w:t>
      </w:r>
    </w:p>
    <w:p>
      <w:pPr>
        <w:ind w:firstLine="643" w:firstLineChars="200"/>
        <w:rPr>
          <w:rFonts w:hint="default" w:ascii="仿宋_GB2312" w:eastAsia="仿宋_GB2312" w:cs="Times New Roman"/>
          <w:b/>
          <w:bCs/>
          <w:sz w:val="32"/>
          <w:szCs w:val="32"/>
          <w:highlight w:val="none"/>
          <w:lang w:val="en-US" w:eastAsia="zh-CN"/>
        </w:rPr>
      </w:pPr>
      <w:r>
        <w:rPr>
          <w:rFonts w:hint="eastAsia" w:ascii="仿宋_GB2312" w:eastAsia="仿宋_GB2312" w:cs="Times New Roman"/>
          <w:b/>
          <w:bCs/>
          <w:sz w:val="32"/>
          <w:szCs w:val="32"/>
          <w:highlight w:val="none"/>
          <w:lang w:eastAsia="zh-CN"/>
        </w:rPr>
        <w:t>（</w:t>
      </w:r>
      <w:r>
        <w:rPr>
          <w:rFonts w:hint="eastAsia" w:ascii="仿宋_GB2312" w:eastAsia="仿宋_GB2312" w:cs="Times New Roman"/>
          <w:b/>
          <w:bCs/>
          <w:sz w:val="32"/>
          <w:szCs w:val="32"/>
          <w:highlight w:val="none"/>
          <w:lang w:val="en-US" w:eastAsia="zh-CN"/>
        </w:rPr>
        <w:t>六</w:t>
      </w:r>
      <w:r>
        <w:rPr>
          <w:rFonts w:hint="eastAsia" w:ascii="仿宋_GB2312" w:eastAsia="仿宋_GB2312" w:cs="Times New Roman"/>
          <w:b/>
          <w:bCs/>
          <w:sz w:val="32"/>
          <w:szCs w:val="32"/>
          <w:highlight w:val="none"/>
          <w:lang w:eastAsia="zh-CN"/>
        </w:rPr>
        <w:t>）</w:t>
      </w:r>
      <w:r>
        <w:rPr>
          <w:rFonts w:hint="eastAsia" w:ascii="仿宋_GB2312" w:eastAsia="仿宋_GB2312" w:cs="Times New Roman"/>
          <w:b/>
          <w:bCs/>
          <w:sz w:val="32"/>
          <w:szCs w:val="32"/>
          <w:highlight w:val="none"/>
          <w:lang w:val="en-US" w:eastAsia="zh-CN"/>
        </w:rPr>
        <w:t>机关运行经费情况说明</w:t>
      </w:r>
    </w:p>
    <w:p>
      <w:pPr>
        <w:numPr>
          <w:ilvl w:val="0"/>
          <w:numId w:val="0"/>
        </w:numPr>
        <w:ind w:firstLine="640" w:firstLineChars="200"/>
        <w:rPr>
          <w:rStyle w:val="13"/>
          <w:rFonts w:hint="eastAsia" w:ascii="Adobe 仿宋 Std R" w:hAnsi="Adobe 仿宋 Std R" w:eastAsia="Adobe 仿宋 Std R"/>
          <w:b w:val="0"/>
          <w:bCs/>
          <w:sz w:val="32"/>
          <w:szCs w:val="32"/>
          <w:lang w:eastAsia="zh-CN"/>
        </w:rPr>
      </w:pPr>
      <w:r>
        <w:rPr>
          <w:rStyle w:val="13"/>
          <w:rFonts w:hint="eastAsia" w:ascii="Adobe 仿宋 Std R" w:hAnsi="Adobe 仿宋 Std R" w:eastAsia="Adobe 仿宋 Std R"/>
          <w:b w:val="0"/>
          <w:bCs/>
          <w:sz w:val="32"/>
          <w:szCs w:val="32"/>
        </w:rPr>
        <w:t>本单位非行政参公单位，无机关运行经费</w:t>
      </w:r>
      <w:r>
        <w:rPr>
          <w:rStyle w:val="13"/>
          <w:rFonts w:hint="eastAsia" w:ascii="Adobe 仿宋 Std R" w:hAnsi="Adobe 仿宋 Std R" w:eastAsia="Adobe 仿宋 Std R"/>
          <w:b w:val="0"/>
          <w:bCs/>
          <w:sz w:val="32"/>
          <w:szCs w:val="32"/>
          <w:lang w:eastAsia="zh-CN"/>
        </w:rPr>
        <w:t>。</w:t>
      </w:r>
    </w:p>
    <w:p>
      <w:pPr>
        <w:numPr>
          <w:ilvl w:val="0"/>
          <w:numId w:val="0"/>
        </w:numPr>
        <w:ind w:firstLine="643" w:firstLineChars="20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lang w:eastAsia="zh-CN"/>
        </w:rPr>
        <w:t>（七）</w:t>
      </w:r>
      <w:r>
        <w:rPr>
          <w:rFonts w:hint="eastAsia" w:ascii="仿宋_GB2312" w:hAnsi="宋体" w:eastAsia="仿宋_GB2312" w:cs="仿宋_GB2312"/>
          <w:b/>
          <w:bCs/>
          <w:sz w:val="32"/>
          <w:szCs w:val="32"/>
          <w:highlight w:val="none"/>
        </w:rPr>
        <w:t>政府采购预算情况</w:t>
      </w:r>
    </w:p>
    <w:p>
      <w:pPr>
        <w:ind w:firstLine="640" w:firstLineChars="200"/>
        <w:rPr>
          <w:rFonts w:hint="default" w:ascii="仿宋_GB2312" w:eastAsia="仿宋_GB2312" w:cs="Times New Roman"/>
          <w:sz w:val="32"/>
          <w:szCs w:val="32"/>
          <w:highlight w:val="none"/>
          <w:lang w:val="en-US" w:eastAsia="zh-CN"/>
        </w:rPr>
      </w:pPr>
      <w:r>
        <w:rPr>
          <w:rFonts w:hint="eastAsia" w:ascii="仿宋_GB2312" w:hAnsi="宋体" w:eastAsia="仿宋_GB2312" w:cs="仿宋_GB2312"/>
          <w:sz w:val="32"/>
          <w:szCs w:val="32"/>
          <w:highlight w:val="none"/>
        </w:rPr>
        <w:t>2022年单位政府采购总额</w:t>
      </w:r>
      <w:r>
        <w:rPr>
          <w:rFonts w:hint="eastAsia" w:ascii="仿宋_GB2312" w:hAnsi="宋体" w:eastAsia="仿宋_GB2312" w:cs="仿宋_GB2312"/>
          <w:sz w:val="32"/>
          <w:szCs w:val="32"/>
          <w:highlight w:val="none"/>
          <w:lang w:eastAsia="zh-CN"/>
        </w:rPr>
        <w:t>为</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，其中：采购货物预算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、采购工程预算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、采购服务预算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。比上年增（减）0万元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主要原因是单位当年未安排政府采购预算。</w:t>
      </w:r>
    </w:p>
    <w:p>
      <w:pPr>
        <w:widowControl/>
        <w:spacing w:line="600" w:lineRule="exact"/>
        <w:ind w:firstLine="643" w:firstLineChars="200"/>
        <w:jc w:val="left"/>
        <w:rPr>
          <w:rFonts w:hint="eastAsia" w:ascii="仿宋_GB2312" w:hAnsi="宋体" w:eastAsia="仿宋_GB2312" w:cs="仿宋_GB2312"/>
          <w:b/>
          <w:bCs/>
          <w:sz w:val="32"/>
          <w:szCs w:val="32"/>
          <w:highlight w:val="none"/>
          <w:lang w:val="en-US" w:eastAsia="zh-CN"/>
        </w:rPr>
      </w:pPr>
      <w:r>
        <w:rPr>
          <w:rFonts w:hint="eastAsia" w:ascii="仿宋_GB2312" w:hAnsi="宋体" w:eastAsia="仿宋_GB2312" w:cs="仿宋_GB2312"/>
          <w:b/>
          <w:bCs/>
          <w:sz w:val="32"/>
          <w:szCs w:val="32"/>
          <w:highlight w:val="none"/>
          <w:lang w:val="en-US" w:eastAsia="zh-CN"/>
        </w:rPr>
        <w:t>（八）国有资产占用情况说明</w:t>
      </w:r>
    </w:p>
    <w:p>
      <w:pPr>
        <w:numPr>
          <w:ilvl w:val="0"/>
          <w:numId w:val="0"/>
        </w:numPr>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lang w:val="en-US" w:eastAsia="zh-CN"/>
        </w:rPr>
        <w:t xml:space="preserve">     2022年</w:t>
      </w:r>
      <w:r>
        <w:rPr>
          <w:rFonts w:hint="eastAsia" w:ascii="仿宋_GB2312" w:hAnsi="宋体" w:eastAsia="仿宋_GB2312" w:cs="仿宋_GB2312"/>
          <w:sz w:val="32"/>
          <w:szCs w:val="32"/>
          <w:highlight w:val="none"/>
        </w:rPr>
        <w:t>农业技术推广中心</w:t>
      </w:r>
      <w:r>
        <w:rPr>
          <w:rFonts w:hint="eastAsia" w:ascii="仿宋_GB2312" w:hAnsi="宋体" w:eastAsia="仿宋_GB2312" w:cs="仿宋_GB2312"/>
          <w:sz w:val="32"/>
          <w:szCs w:val="32"/>
          <w:highlight w:val="none"/>
          <w:lang w:val="en-US" w:eastAsia="zh-CN"/>
        </w:rPr>
        <w:t>共有车辆1辆，其中：一般公务用车实有数1辆，执法执勤用车实有数0辆。2022年部门预算安排购置车辆0辆，安排购置单位价值200万元以上大型设备为0。主要原因是没有安排车辆和大型设备购置计划。</w:t>
      </w:r>
    </w:p>
    <w:p>
      <w:pPr>
        <w:widowControl/>
        <w:numPr>
          <w:ilvl w:val="0"/>
          <w:numId w:val="0"/>
        </w:numPr>
        <w:spacing w:line="600" w:lineRule="exact"/>
        <w:ind w:firstLine="643" w:firstLineChars="200"/>
        <w:jc w:val="left"/>
        <w:rPr>
          <w:rFonts w:hint="eastAsia" w:ascii="仿宋_GB2312" w:eastAsia="仿宋_GB2312"/>
          <w:b/>
          <w:color w:val="000000"/>
          <w:sz w:val="32"/>
          <w:szCs w:val="30"/>
          <w:highlight w:val="none"/>
        </w:rPr>
      </w:pPr>
      <w:r>
        <w:rPr>
          <w:rFonts w:hint="eastAsia" w:ascii="仿宋_GB2312" w:hAnsi="宋体" w:eastAsia="仿宋_GB2312" w:cs="仿宋_GB2312"/>
          <w:b/>
          <w:bCs/>
          <w:sz w:val="32"/>
          <w:szCs w:val="32"/>
          <w:highlight w:val="none"/>
        </w:rPr>
        <w:t>（</w:t>
      </w:r>
      <w:r>
        <w:rPr>
          <w:rFonts w:hint="eastAsia" w:ascii="仿宋_GB2312" w:hAnsi="宋体" w:eastAsia="仿宋_GB2312" w:cs="仿宋_GB2312"/>
          <w:b/>
          <w:bCs/>
          <w:sz w:val="32"/>
          <w:szCs w:val="32"/>
          <w:highlight w:val="none"/>
          <w:lang w:eastAsia="zh-CN"/>
        </w:rPr>
        <w:t>九</w:t>
      </w:r>
      <w:r>
        <w:rPr>
          <w:rFonts w:hint="eastAsia" w:ascii="仿宋_GB2312" w:hAnsi="宋体" w:eastAsia="仿宋_GB2312" w:cs="仿宋_GB2312"/>
          <w:b/>
          <w:bCs/>
          <w:sz w:val="32"/>
          <w:szCs w:val="32"/>
          <w:highlight w:val="none"/>
        </w:rPr>
        <w:t>）</w:t>
      </w:r>
      <w:r>
        <w:rPr>
          <w:rFonts w:hint="eastAsia" w:ascii="仿宋_GB2312" w:eastAsia="仿宋_GB2312"/>
          <w:b/>
          <w:color w:val="000000"/>
          <w:sz w:val="32"/>
          <w:szCs w:val="30"/>
          <w:highlight w:val="none"/>
        </w:rPr>
        <w:t>项目情况说明</w:t>
      </w:r>
    </w:p>
    <w:p>
      <w:pPr>
        <w:widowControl/>
        <w:numPr>
          <w:ilvl w:val="0"/>
          <w:numId w:val="0"/>
        </w:numPr>
        <w:spacing w:line="600" w:lineRule="exact"/>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rPr>
        <w:t>1.农业技术推广中心一级项目</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1）项目概述</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做好国家级种质资源保护、涉渔工程及渔业资源保护宣传工作</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rPr>
        <w:t>）实施主体</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景德镇市农业技术推广中心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）实施周期</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2022年1月-12月</w:t>
      </w:r>
    </w:p>
    <w:p>
      <w:pPr>
        <w:widowControl/>
        <w:numPr>
          <w:ilvl w:val="0"/>
          <w:numId w:val="1"/>
        </w:numPr>
        <w:spacing w:line="600" w:lineRule="exact"/>
        <w:ind w:left="640" w:leftChars="0" w:firstLine="0" w:firstLineChars="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rPr>
      </w:pPr>
      <w:r>
        <w:rPr>
          <w:rFonts w:hint="eastAsia" w:ascii="仿宋_GB2312" w:hAnsi="宋体" w:eastAsia="仿宋_GB2312" w:cs="仿宋_GB2312"/>
          <w:sz w:val="32"/>
          <w:szCs w:val="32"/>
          <w:highlight w:val="none"/>
          <w:lang w:val="en-US" w:eastAsia="zh-CN"/>
        </w:rPr>
        <w:t>景德镇市2022年年初预算安排专项资金12万元。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rPr>
        <w:t>）绩效目标和指标</w:t>
      </w:r>
    </w:p>
    <w:tbl>
      <w:tblPr>
        <w:tblStyle w:val="6"/>
        <w:tblW w:w="8640" w:type="dxa"/>
        <w:tblInd w:w="93" w:type="dxa"/>
        <w:tblLayout w:type="autofit"/>
        <w:tblCellMar>
          <w:top w:w="0" w:type="dxa"/>
          <w:left w:w="108" w:type="dxa"/>
          <w:bottom w:w="0" w:type="dxa"/>
          <w:right w:w="108" w:type="dxa"/>
        </w:tblCellMar>
      </w:tblPr>
      <w:tblGrid>
        <w:gridCol w:w="960"/>
        <w:gridCol w:w="960"/>
        <w:gridCol w:w="960"/>
        <w:gridCol w:w="960"/>
        <w:gridCol w:w="960"/>
        <w:gridCol w:w="960"/>
        <w:gridCol w:w="960"/>
        <w:gridCol w:w="1920"/>
      </w:tblGrid>
      <w:tr>
        <w:tblPrEx>
          <w:tblCellMar>
            <w:top w:w="0" w:type="dxa"/>
            <w:left w:w="108" w:type="dxa"/>
            <w:bottom w:w="0" w:type="dxa"/>
            <w:right w:w="108" w:type="dxa"/>
          </w:tblCellMar>
        </w:tblPrEx>
        <w:trPr>
          <w:trHeight w:val="645" w:hRule="atLeast"/>
        </w:trPr>
        <w:tc>
          <w:tcPr>
            <w:tcW w:w="8640" w:type="dxa"/>
            <w:gridSpan w:val="8"/>
            <w:tcBorders>
              <w:top w:val="nil"/>
              <w:left w:val="nil"/>
              <w:bottom w:val="nil"/>
              <w:right w:val="nil"/>
            </w:tcBorders>
            <w:shd w:val="clear" w:color="auto" w:fill="auto"/>
            <w:vAlign w:val="center"/>
          </w:tcPr>
          <w:p>
            <w:pPr>
              <w:widowControl/>
              <w:jc w:val="center"/>
              <w:rPr>
                <w:rFonts w:ascii="宋体" w:hAnsi="宋体" w:cs="Arial"/>
                <w:b/>
                <w:bCs/>
                <w:color w:val="000000"/>
                <w:kern w:val="0"/>
                <w:sz w:val="32"/>
                <w:szCs w:val="32"/>
                <w:highlight w:val="none"/>
              </w:rPr>
            </w:pPr>
            <w:r>
              <w:rPr>
                <w:rFonts w:hint="eastAsia" w:ascii="宋体" w:hAnsi="宋体" w:cs="Arial"/>
                <w:b/>
                <w:bCs/>
                <w:color w:val="000000"/>
                <w:kern w:val="0"/>
                <w:sz w:val="32"/>
                <w:szCs w:val="32"/>
                <w:highlight w:val="none"/>
              </w:rPr>
              <w:t>景德镇市农业技术推广中心一级项目绩效目标表</w:t>
            </w:r>
          </w:p>
        </w:tc>
      </w:tr>
      <w:tr>
        <w:tblPrEx>
          <w:tblCellMar>
            <w:top w:w="0" w:type="dxa"/>
            <w:left w:w="108" w:type="dxa"/>
            <w:bottom w:w="0" w:type="dxa"/>
            <w:right w:w="108" w:type="dxa"/>
          </w:tblCellMar>
        </w:tblPrEx>
        <w:trPr>
          <w:trHeight w:val="270" w:hRule="atLeast"/>
        </w:trPr>
        <w:tc>
          <w:tcPr>
            <w:tcW w:w="960" w:type="dxa"/>
            <w:tcBorders>
              <w:top w:val="nil"/>
              <w:left w:val="nil"/>
              <w:bottom w:val="nil"/>
              <w:right w:val="nil"/>
            </w:tcBorders>
            <w:shd w:val="clear" w:color="auto" w:fill="auto"/>
          </w:tcPr>
          <w:p>
            <w:pPr>
              <w:widowControl/>
              <w:rPr>
                <w:rFonts w:cs="Arial"/>
                <w:color w:val="000000"/>
                <w:kern w:val="0"/>
                <w:highlight w:val="none"/>
              </w:rPr>
            </w:pPr>
          </w:p>
        </w:tc>
        <w:tc>
          <w:tcPr>
            <w:tcW w:w="960" w:type="dxa"/>
            <w:tcBorders>
              <w:top w:val="nil"/>
              <w:left w:val="nil"/>
              <w:bottom w:val="nil"/>
              <w:right w:val="nil"/>
            </w:tcBorders>
            <w:shd w:val="clear" w:color="auto" w:fill="auto"/>
          </w:tcPr>
          <w:p>
            <w:pPr>
              <w:widowControl/>
              <w:rPr>
                <w:rFonts w:cs="Arial"/>
                <w:color w:val="000000"/>
                <w:kern w:val="0"/>
                <w:highlight w:val="none"/>
              </w:rPr>
            </w:pPr>
          </w:p>
        </w:tc>
        <w:tc>
          <w:tcPr>
            <w:tcW w:w="1920" w:type="dxa"/>
            <w:gridSpan w:val="2"/>
            <w:tcBorders>
              <w:top w:val="nil"/>
              <w:left w:val="nil"/>
              <w:bottom w:val="single" w:color="auto" w:sz="4" w:space="0"/>
              <w:right w:val="nil"/>
            </w:tcBorders>
            <w:shd w:val="clear" w:color="auto" w:fill="auto"/>
          </w:tcPr>
          <w:p>
            <w:pPr>
              <w:widowControl/>
              <w:rPr>
                <w:rFonts w:cs="Arial"/>
                <w:color w:val="000000"/>
                <w:kern w:val="0"/>
                <w:highlight w:val="none"/>
              </w:rPr>
            </w:pPr>
            <w:r>
              <w:rPr>
                <w:rFonts w:cs="Arial"/>
                <w:color w:val="000000"/>
                <w:kern w:val="0"/>
                <w:highlight w:val="none"/>
              </w:rPr>
              <w:t>　</w:t>
            </w:r>
          </w:p>
        </w:tc>
        <w:tc>
          <w:tcPr>
            <w:tcW w:w="2880" w:type="dxa"/>
            <w:gridSpan w:val="3"/>
            <w:tcBorders>
              <w:top w:val="nil"/>
              <w:left w:val="nil"/>
              <w:bottom w:val="nil"/>
              <w:right w:val="nil"/>
            </w:tcBorders>
            <w:shd w:val="clear" w:color="auto" w:fill="auto"/>
          </w:tcPr>
          <w:p>
            <w:pPr>
              <w:widowControl/>
              <w:rPr>
                <w:rFonts w:cs="Arial"/>
                <w:color w:val="000000"/>
                <w:kern w:val="0"/>
                <w:highlight w:val="none"/>
              </w:rPr>
            </w:pPr>
          </w:p>
        </w:tc>
        <w:tc>
          <w:tcPr>
            <w:tcW w:w="1920" w:type="dxa"/>
            <w:tcBorders>
              <w:top w:val="nil"/>
              <w:left w:val="nil"/>
              <w:bottom w:val="nil"/>
              <w:right w:val="nil"/>
            </w:tcBorders>
            <w:shd w:val="clear" w:color="auto" w:fill="auto"/>
          </w:tcPr>
          <w:p>
            <w:pPr>
              <w:widowControl/>
              <w:rPr>
                <w:rFonts w:cs="Arial"/>
                <w:color w:val="000000"/>
                <w:kern w:val="0"/>
                <w:highlight w:val="none"/>
              </w:rPr>
            </w:pPr>
          </w:p>
        </w:tc>
      </w:tr>
      <w:tr>
        <w:trPr>
          <w:trHeight w:val="720" w:hRule="atLeast"/>
        </w:trPr>
        <w:tc>
          <w:tcPr>
            <w:tcW w:w="19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项目名称</w:t>
            </w:r>
          </w:p>
        </w:tc>
        <w:tc>
          <w:tcPr>
            <w:tcW w:w="672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b/>
                <w:bCs/>
                <w:color w:val="000000"/>
                <w:kern w:val="0"/>
                <w:sz w:val="20"/>
                <w:szCs w:val="20"/>
                <w:highlight w:val="none"/>
              </w:rPr>
            </w:pPr>
            <w:r>
              <w:rPr>
                <w:rFonts w:hint="eastAsia" w:ascii="宋体" w:hAnsi="宋体" w:cs="Arial"/>
                <w:b/>
                <w:bCs/>
                <w:color w:val="000000"/>
                <w:kern w:val="0"/>
                <w:sz w:val="20"/>
                <w:szCs w:val="20"/>
                <w:highlight w:val="none"/>
              </w:rPr>
              <w:t>农业资源保护修复与利用</w:t>
            </w:r>
          </w:p>
        </w:tc>
      </w:tr>
      <w:tr>
        <w:tblPrEx>
          <w:tblCellMar>
            <w:top w:w="0" w:type="dxa"/>
            <w:left w:w="108" w:type="dxa"/>
            <w:bottom w:w="0" w:type="dxa"/>
            <w:right w:w="108" w:type="dxa"/>
          </w:tblCellMar>
        </w:tblPrEx>
        <w:trPr>
          <w:trHeight w:val="720" w:hRule="atLeast"/>
        </w:trPr>
        <w:tc>
          <w:tcPr>
            <w:tcW w:w="19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主管部门及代码</w:t>
            </w:r>
          </w:p>
        </w:tc>
        <w:tc>
          <w:tcPr>
            <w:tcW w:w="2880"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景德镇市农业农村局301001</w:t>
            </w:r>
          </w:p>
        </w:tc>
        <w:tc>
          <w:tcPr>
            <w:tcW w:w="9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实施单位</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景德镇市农业技术推广中心</w:t>
            </w:r>
          </w:p>
        </w:tc>
      </w:tr>
      <w:tr>
        <w:trPr>
          <w:trHeight w:val="570" w:hRule="atLeast"/>
        </w:trPr>
        <w:tc>
          <w:tcPr>
            <w:tcW w:w="19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项目资金(万元)</w:t>
            </w:r>
          </w:p>
        </w:tc>
        <w:tc>
          <w:tcPr>
            <w:tcW w:w="192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年度资金总额      </w:t>
            </w:r>
          </w:p>
        </w:tc>
        <w:tc>
          <w:tcPr>
            <w:tcW w:w="48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12</w:t>
            </w:r>
          </w:p>
        </w:tc>
      </w:tr>
      <w:tr>
        <w:tblPrEx>
          <w:tblCellMar>
            <w:top w:w="0" w:type="dxa"/>
            <w:left w:w="108" w:type="dxa"/>
            <w:bottom w:w="0" w:type="dxa"/>
            <w:right w:w="108" w:type="dxa"/>
          </w:tblCellMar>
        </w:tblPrEx>
        <w:trPr>
          <w:trHeight w:val="570" w:hRule="atLeast"/>
        </w:trPr>
        <w:tc>
          <w:tcPr>
            <w:tcW w:w="19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92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其中:财政拨款</w:t>
            </w:r>
          </w:p>
        </w:tc>
        <w:tc>
          <w:tcPr>
            <w:tcW w:w="48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12</w:t>
            </w:r>
          </w:p>
        </w:tc>
      </w:tr>
      <w:tr>
        <w:tblPrEx>
          <w:tblCellMar>
            <w:top w:w="0" w:type="dxa"/>
            <w:left w:w="108" w:type="dxa"/>
            <w:bottom w:w="0" w:type="dxa"/>
            <w:right w:w="108" w:type="dxa"/>
          </w:tblCellMar>
        </w:tblPrEx>
        <w:trPr>
          <w:trHeight w:val="570" w:hRule="atLeast"/>
        </w:trPr>
        <w:tc>
          <w:tcPr>
            <w:tcW w:w="19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92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其他资金</w:t>
            </w:r>
          </w:p>
        </w:tc>
        <w:tc>
          <w:tcPr>
            <w:tcW w:w="48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w:t>
            </w:r>
          </w:p>
        </w:tc>
      </w:tr>
      <w:tr>
        <w:tblPrEx>
          <w:tblCellMar>
            <w:top w:w="0" w:type="dxa"/>
            <w:left w:w="108" w:type="dxa"/>
            <w:bottom w:w="0" w:type="dxa"/>
            <w:right w:w="108" w:type="dxa"/>
          </w:tblCellMar>
        </w:tblPrEx>
        <w:trPr>
          <w:trHeight w:val="720" w:hRule="atLeast"/>
        </w:trPr>
        <w:tc>
          <w:tcPr>
            <w:tcW w:w="864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年度绩效目标</w:t>
            </w:r>
          </w:p>
        </w:tc>
      </w:tr>
      <w:tr>
        <w:tblPrEx>
          <w:tblCellMar>
            <w:top w:w="0" w:type="dxa"/>
            <w:left w:w="108" w:type="dxa"/>
            <w:bottom w:w="0" w:type="dxa"/>
            <w:right w:w="108" w:type="dxa"/>
          </w:tblCellMar>
        </w:tblPrEx>
        <w:trPr>
          <w:trHeight w:val="720" w:hRule="atLeast"/>
        </w:trPr>
        <w:tc>
          <w:tcPr>
            <w:tcW w:w="864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做好国家级种质资源保护、涉渔工程及渔业资源保护宣传工作</w:t>
            </w:r>
          </w:p>
        </w:tc>
      </w:tr>
      <w:tr>
        <w:tblPrEx>
          <w:tblCellMar>
            <w:top w:w="0" w:type="dxa"/>
            <w:left w:w="108" w:type="dxa"/>
            <w:bottom w:w="0" w:type="dxa"/>
            <w:right w:w="108" w:type="dxa"/>
          </w:tblCellMar>
        </w:tblPrEx>
        <w:trPr>
          <w:trHeight w:val="799" w:hRule="atLeast"/>
        </w:trPr>
        <w:tc>
          <w:tcPr>
            <w:tcW w:w="2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一级指标</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二级指标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三级指标</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年度指标值</w:t>
            </w:r>
          </w:p>
        </w:tc>
      </w:tr>
      <w:tr>
        <w:tblPrEx>
          <w:tblCellMar>
            <w:top w:w="0" w:type="dxa"/>
            <w:left w:w="108" w:type="dxa"/>
            <w:bottom w:w="0" w:type="dxa"/>
            <w:right w:w="108" w:type="dxa"/>
          </w:tblCellMar>
        </w:tblPrEx>
        <w:trPr>
          <w:trHeight w:val="750" w:hRule="atLeast"/>
        </w:trPr>
        <w:tc>
          <w:tcPr>
            <w:tcW w:w="288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产出指标</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数量指标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国家级水产种质资源保护区巡查</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50次</w:t>
            </w:r>
          </w:p>
        </w:tc>
      </w:tr>
      <w:tr>
        <w:tblPrEx>
          <w:tblCellMar>
            <w:top w:w="0" w:type="dxa"/>
            <w:left w:w="108" w:type="dxa"/>
            <w:bottom w:w="0" w:type="dxa"/>
            <w:right w:w="108" w:type="dxa"/>
          </w:tblCellMar>
        </w:tblPrEx>
        <w:trPr>
          <w:trHeight w:val="750" w:hRule="atLeast"/>
        </w:trPr>
        <w:tc>
          <w:tcPr>
            <w:tcW w:w="28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质量指标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涉渔工程</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通过环评</w:t>
            </w:r>
          </w:p>
        </w:tc>
      </w:tr>
      <w:tr>
        <w:tblPrEx>
          <w:tblCellMar>
            <w:top w:w="0" w:type="dxa"/>
            <w:left w:w="108" w:type="dxa"/>
            <w:bottom w:w="0" w:type="dxa"/>
            <w:right w:w="108" w:type="dxa"/>
          </w:tblCellMar>
        </w:tblPrEx>
        <w:trPr>
          <w:trHeight w:val="750" w:hRule="atLeast"/>
        </w:trPr>
        <w:tc>
          <w:tcPr>
            <w:tcW w:w="28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时效指标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项目完成及时率</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按项目要求完成</w:t>
            </w:r>
          </w:p>
        </w:tc>
      </w:tr>
      <w:tr>
        <w:tblPrEx>
          <w:tblCellMar>
            <w:top w:w="0" w:type="dxa"/>
            <w:left w:w="108" w:type="dxa"/>
            <w:bottom w:w="0" w:type="dxa"/>
            <w:right w:w="108" w:type="dxa"/>
          </w:tblCellMar>
        </w:tblPrEx>
        <w:trPr>
          <w:trHeight w:val="750" w:hRule="atLeast"/>
        </w:trPr>
        <w:tc>
          <w:tcPr>
            <w:tcW w:w="28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成本指标</w:t>
            </w:r>
          </w:p>
        </w:tc>
        <w:tc>
          <w:tcPr>
            <w:tcW w:w="19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资金利用率</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8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效益指标</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经济效益指标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渔民增收</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5%</w:t>
            </w:r>
          </w:p>
        </w:tc>
      </w:tr>
      <w:tr>
        <w:tblPrEx>
          <w:tblCellMar>
            <w:top w:w="0" w:type="dxa"/>
            <w:left w:w="108" w:type="dxa"/>
            <w:bottom w:w="0" w:type="dxa"/>
            <w:right w:w="108" w:type="dxa"/>
          </w:tblCellMar>
        </w:tblPrEx>
        <w:trPr>
          <w:trHeight w:val="750" w:hRule="atLeast"/>
        </w:trPr>
        <w:tc>
          <w:tcPr>
            <w:tcW w:w="28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社会效益指标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渔业水域</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水质变好</w:t>
            </w:r>
          </w:p>
        </w:tc>
      </w:tr>
      <w:tr>
        <w:tblPrEx>
          <w:tblCellMar>
            <w:top w:w="0" w:type="dxa"/>
            <w:left w:w="108" w:type="dxa"/>
            <w:bottom w:w="0" w:type="dxa"/>
            <w:right w:w="108" w:type="dxa"/>
          </w:tblCellMar>
        </w:tblPrEx>
        <w:trPr>
          <w:trHeight w:val="750" w:hRule="atLeast"/>
        </w:trPr>
        <w:tc>
          <w:tcPr>
            <w:tcW w:w="28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生态效益指标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鱼类种质资源</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多样性发展</w:t>
            </w:r>
          </w:p>
        </w:tc>
      </w:tr>
      <w:tr>
        <w:tblPrEx>
          <w:tblCellMar>
            <w:top w:w="0" w:type="dxa"/>
            <w:left w:w="108" w:type="dxa"/>
            <w:bottom w:w="0" w:type="dxa"/>
            <w:right w:w="108" w:type="dxa"/>
          </w:tblCellMar>
        </w:tblPrEx>
        <w:trPr>
          <w:trHeight w:val="750" w:hRule="atLeast"/>
        </w:trPr>
        <w:tc>
          <w:tcPr>
            <w:tcW w:w="28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可持续影响指标</w:t>
            </w:r>
          </w:p>
        </w:tc>
        <w:tc>
          <w:tcPr>
            <w:tcW w:w="19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鱼类种类繁衍</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有效恢复</w:t>
            </w:r>
          </w:p>
        </w:tc>
      </w:tr>
      <w:tr>
        <w:tblPrEx>
          <w:tblCellMar>
            <w:top w:w="0" w:type="dxa"/>
            <w:left w:w="108" w:type="dxa"/>
            <w:bottom w:w="0" w:type="dxa"/>
            <w:right w:w="108" w:type="dxa"/>
          </w:tblCellMar>
        </w:tblPrEx>
        <w:trPr>
          <w:trHeight w:val="750" w:hRule="atLeast"/>
        </w:trPr>
        <w:tc>
          <w:tcPr>
            <w:tcW w:w="2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满意度指标</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服务对象满意度指标</w:t>
            </w:r>
          </w:p>
        </w:tc>
        <w:tc>
          <w:tcPr>
            <w:tcW w:w="19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市民满意度</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满意</w:t>
            </w:r>
          </w:p>
        </w:tc>
      </w:tr>
    </w:tbl>
    <w:p>
      <w:pPr>
        <w:widowControl/>
        <w:spacing w:line="600" w:lineRule="exact"/>
        <w:ind w:firstLine="640"/>
        <w:jc w:val="left"/>
        <w:rPr>
          <w:rFonts w:ascii="仿宋_GB2312" w:eastAsia="仿宋_GB2312"/>
          <w:color w:val="000000"/>
          <w:sz w:val="32"/>
          <w:szCs w:val="30"/>
          <w:highlight w:val="none"/>
        </w:rPr>
      </w:pPr>
    </w:p>
    <w:p>
      <w:pPr>
        <w:widowControl/>
        <w:numPr>
          <w:ilvl w:val="0"/>
          <w:numId w:val="2"/>
        </w:numPr>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农业技术推广中心一级项目</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1）项目概述</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开展渔政执法监管，保护水生生态环境</w:t>
      </w:r>
    </w:p>
    <w:p>
      <w:pPr>
        <w:widowControl/>
        <w:spacing w:line="600" w:lineRule="exact"/>
        <w:ind w:firstLine="640" w:firstLineChars="20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rPr>
        <w:t>）实施主体</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景德镇市农业技术推广中心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）实施周期</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2022年1月-12月</w:t>
      </w:r>
    </w:p>
    <w:p>
      <w:pPr>
        <w:widowControl/>
        <w:numPr>
          <w:ilvl w:val="0"/>
          <w:numId w:val="0"/>
        </w:numPr>
        <w:spacing w:line="600" w:lineRule="exact"/>
        <w:ind w:left="640" w:leftChars="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rPr>
      </w:pPr>
      <w:r>
        <w:rPr>
          <w:rFonts w:hint="eastAsia" w:ascii="仿宋_GB2312" w:hAnsi="宋体" w:eastAsia="仿宋_GB2312" w:cs="仿宋_GB2312"/>
          <w:sz w:val="32"/>
          <w:szCs w:val="32"/>
          <w:highlight w:val="none"/>
          <w:lang w:val="en-US" w:eastAsia="zh-CN"/>
        </w:rPr>
        <w:t>景德镇市2022年年初预算安排专项资金8万元。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rPr>
        <w:t>）绩效目标和指标</w:t>
      </w:r>
    </w:p>
    <w:tbl>
      <w:tblPr>
        <w:tblStyle w:val="6"/>
        <w:tblW w:w="8460" w:type="dxa"/>
        <w:tblInd w:w="93" w:type="dxa"/>
        <w:tblLayout w:type="autofit"/>
        <w:tblCellMar>
          <w:top w:w="0" w:type="dxa"/>
          <w:left w:w="108" w:type="dxa"/>
          <w:bottom w:w="0" w:type="dxa"/>
          <w:right w:w="108" w:type="dxa"/>
        </w:tblCellMar>
      </w:tblPr>
      <w:tblGrid>
        <w:gridCol w:w="940"/>
        <w:gridCol w:w="940"/>
        <w:gridCol w:w="940"/>
        <w:gridCol w:w="940"/>
        <w:gridCol w:w="940"/>
        <w:gridCol w:w="940"/>
        <w:gridCol w:w="940"/>
        <w:gridCol w:w="1880"/>
      </w:tblGrid>
      <w:tr>
        <w:tblPrEx>
          <w:tblCellMar>
            <w:top w:w="0" w:type="dxa"/>
            <w:left w:w="108" w:type="dxa"/>
            <w:bottom w:w="0" w:type="dxa"/>
            <w:right w:w="108" w:type="dxa"/>
          </w:tblCellMar>
        </w:tblPrEx>
        <w:trPr>
          <w:trHeight w:val="645" w:hRule="atLeast"/>
        </w:trPr>
        <w:tc>
          <w:tcPr>
            <w:tcW w:w="8460" w:type="dxa"/>
            <w:gridSpan w:val="8"/>
            <w:tcBorders>
              <w:top w:val="nil"/>
              <w:left w:val="nil"/>
              <w:bottom w:val="nil"/>
              <w:right w:val="nil"/>
            </w:tcBorders>
            <w:shd w:val="clear" w:color="auto" w:fill="auto"/>
            <w:vAlign w:val="center"/>
          </w:tcPr>
          <w:p>
            <w:pPr>
              <w:widowControl/>
              <w:jc w:val="center"/>
              <w:rPr>
                <w:rFonts w:ascii="宋体" w:hAnsi="宋体" w:cs="Arial"/>
                <w:b/>
                <w:bCs/>
                <w:color w:val="000000"/>
                <w:kern w:val="0"/>
                <w:sz w:val="32"/>
                <w:szCs w:val="32"/>
                <w:highlight w:val="none"/>
              </w:rPr>
            </w:pPr>
            <w:r>
              <w:rPr>
                <w:rFonts w:hint="eastAsia" w:ascii="宋体" w:hAnsi="宋体" w:cs="Arial"/>
                <w:b/>
                <w:bCs/>
                <w:color w:val="000000"/>
                <w:kern w:val="0"/>
                <w:sz w:val="32"/>
                <w:szCs w:val="32"/>
                <w:highlight w:val="none"/>
              </w:rPr>
              <w:t>景德镇市农业技术推广中心一级项目绩效目标表</w:t>
            </w:r>
          </w:p>
        </w:tc>
      </w:tr>
      <w:tr>
        <w:tblPrEx>
          <w:tblCellMar>
            <w:top w:w="0" w:type="dxa"/>
            <w:left w:w="108" w:type="dxa"/>
            <w:bottom w:w="0" w:type="dxa"/>
            <w:right w:w="108" w:type="dxa"/>
          </w:tblCellMar>
        </w:tblPrEx>
        <w:trPr>
          <w:trHeight w:val="270" w:hRule="atLeast"/>
        </w:trPr>
        <w:tc>
          <w:tcPr>
            <w:tcW w:w="940" w:type="dxa"/>
            <w:tcBorders>
              <w:top w:val="nil"/>
              <w:left w:val="nil"/>
              <w:bottom w:val="nil"/>
              <w:right w:val="nil"/>
            </w:tcBorders>
            <w:shd w:val="clear" w:color="auto" w:fill="auto"/>
          </w:tcPr>
          <w:p>
            <w:pPr>
              <w:widowControl/>
              <w:rPr>
                <w:rFonts w:cs="Arial"/>
                <w:color w:val="000000"/>
                <w:kern w:val="0"/>
                <w:highlight w:val="none"/>
              </w:rPr>
            </w:pPr>
          </w:p>
        </w:tc>
        <w:tc>
          <w:tcPr>
            <w:tcW w:w="940" w:type="dxa"/>
            <w:tcBorders>
              <w:top w:val="nil"/>
              <w:left w:val="nil"/>
              <w:bottom w:val="nil"/>
              <w:right w:val="nil"/>
            </w:tcBorders>
            <w:shd w:val="clear" w:color="auto" w:fill="auto"/>
          </w:tcPr>
          <w:p>
            <w:pPr>
              <w:widowControl/>
              <w:rPr>
                <w:rFonts w:cs="Arial"/>
                <w:color w:val="000000"/>
                <w:kern w:val="0"/>
                <w:highlight w:val="none"/>
              </w:rPr>
            </w:pPr>
          </w:p>
        </w:tc>
        <w:tc>
          <w:tcPr>
            <w:tcW w:w="1880" w:type="dxa"/>
            <w:gridSpan w:val="2"/>
            <w:tcBorders>
              <w:top w:val="nil"/>
              <w:left w:val="nil"/>
              <w:bottom w:val="single" w:color="auto" w:sz="4" w:space="0"/>
              <w:right w:val="nil"/>
            </w:tcBorders>
            <w:shd w:val="clear" w:color="auto" w:fill="auto"/>
          </w:tcPr>
          <w:p>
            <w:pPr>
              <w:widowControl/>
              <w:rPr>
                <w:rFonts w:cs="Arial"/>
                <w:color w:val="000000"/>
                <w:kern w:val="0"/>
                <w:highlight w:val="none"/>
              </w:rPr>
            </w:pPr>
            <w:r>
              <w:rPr>
                <w:rFonts w:cs="Arial"/>
                <w:color w:val="000000"/>
                <w:kern w:val="0"/>
                <w:highlight w:val="none"/>
              </w:rPr>
              <w:t>　</w:t>
            </w:r>
          </w:p>
        </w:tc>
        <w:tc>
          <w:tcPr>
            <w:tcW w:w="2820" w:type="dxa"/>
            <w:gridSpan w:val="3"/>
            <w:tcBorders>
              <w:top w:val="nil"/>
              <w:left w:val="nil"/>
              <w:bottom w:val="nil"/>
              <w:right w:val="nil"/>
            </w:tcBorders>
            <w:shd w:val="clear" w:color="auto" w:fill="auto"/>
          </w:tcPr>
          <w:p>
            <w:pPr>
              <w:widowControl/>
              <w:rPr>
                <w:rFonts w:cs="Arial"/>
                <w:color w:val="000000"/>
                <w:kern w:val="0"/>
                <w:highlight w:val="none"/>
              </w:rPr>
            </w:pPr>
          </w:p>
        </w:tc>
        <w:tc>
          <w:tcPr>
            <w:tcW w:w="1880" w:type="dxa"/>
            <w:tcBorders>
              <w:top w:val="nil"/>
              <w:left w:val="nil"/>
              <w:bottom w:val="nil"/>
              <w:right w:val="nil"/>
            </w:tcBorders>
            <w:shd w:val="clear" w:color="auto" w:fill="auto"/>
          </w:tcPr>
          <w:p>
            <w:pPr>
              <w:widowControl/>
              <w:rPr>
                <w:rFonts w:cs="Arial"/>
                <w:color w:val="000000"/>
                <w:kern w:val="0"/>
                <w:highlight w:val="none"/>
              </w:rPr>
            </w:pPr>
          </w:p>
        </w:tc>
      </w:tr>
      <w:tr>
        <w:tblPrEx>
          <w:tblCellMar>
            <w:top w:w="0" w:type="dxa"/>
            <w:left w:w="108" w:type="dxa"/>
            <w:bottom w:w="0" w:type="dxa"/>
            <w:right w:w="108" w:type="dxa"/>
          </w:tblCellMar>
        </w:tblPrEx>
        <w:trPr>
          <w:trHeight w:val="720" w:hRule="atLeast"/>
        </w:trPr>
        <w:tc>
          <w:tcPr>
            <w:tcW w:w="1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项目名称</w:t>
            </w:r>
          </w:p>
        </w:tc>
        <w:tc>
          <w:tcPr>
            <w:tcW w:w="658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b/>
                <w:bCs/>
                <w:color w:val="000000"/>
                <w:kern w:val="0"/>
                <w:sz w:val="20"/>
                <w:szCs w:val="20"/>
                <w:highlight w:val="none"/>
              </w:rPr>
            </w:pPr>
            <w:r>
              <w:rPr>
                <w:rFonts w:hint="eastAsia" w:ascii="宋体" w:hAnsi="宋体" w:cs="Arial"/>
                <w:b/>
                <w:bCs/>
                <w:color w:val="000000"/>
                <w:kern w:val="0"/>
                <w:sz w:val="20"/>
                <w:szCs w:val="20"/>
                <w:highlight w:val="none"/>
              </w:rPr>
              <w:t>渔业种质管理经费</w:t>
            </w:r>
          </w:p>
        </w:tc>
      </w:tr>
      <w:tr>
        <w:tblPrEx>
          <w:tblCellMar>
            <w:top w:w="0" w:type="dxa"/>
            <w:left w:w="108" w:type="dxa"/>
            <w:bottom w:w="0" w:type="dxa"/>
            <w:right w:w="108" w:type="dxa"/>
          </w:tblCellMar>
        </w:tblPrEx>
        <w:trPr>
          <w:trHeight w:val="720" w:hRule="atLeast"/>
        </w:trPr>
        <w:tc>
          <w:tcPr>
            <w:tcW w:w="1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主管部门及代码</w:t>
            </w:r>
          </w:p>
        </w:tc>
        <w:tc>
          <w:tcPr>
            <w:tcW w:w="2820"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景德镇市农业农村局301001</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实施单位</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景德镇市农业技术推广中心</w:t>
            </w:r>
          </w:p>
        </w:tc>
      </w:tr>
      <w:tr>
        <w:tblPrEx>
          <w:tblCellMar>
            <w:top w:w="0" w:type="dxa"/>
            <w:left w:w="108" w:type="dxa"/>
            <w:bottom w:w="0" w:type="dxa"/>
            <w:right w:w="108" w:type="dxa"/>
          </w:tblCellMar>
        </w:tblPrEx>
        <w:trPr>
          <w:trHeight w:val="570" w:hRule="atLeast"/>
        </w:trPr>
        <w:tc>
          <w:tcPr>
            <w:tcW w:w="188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项目资金(万元)</w:t>
            </w: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年度资金总额      </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8</w:t>
            </w:r>
          </w:p>
        </w:tc>
      </w:tr>
      <w:tr>
        <w:tblPrEx>
          <w:tblCellMar>
            <w:top w:w="0" w:type="dxa"/>
            <w:left w:w="108" w:type="dxa"/>
            <w:bottom w:w="0" w:type="dxa"/>
            <w:right w:w="108" w:type="dxa"/>
          </w:tblCellMar>
        </w:tblPrEx>
        <w:trPr>
          <w:trHeight w:val="570" w:hRule="atLeast"/>
        </w:trPr>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其中:财政拨款</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8</w:t>
            </w:r>
          </w:p>
        </w:tc>
      </w:tr>
      <w:tr>
        <w:tblPrEx>
          <w:tblCellMar>
            <w:top w:w="0" w:type="dxa"/>
            <w:left w:w="108" w:type="dxa"/>
            <w:bottom w:w="0" w:type="dxa"/>
            <w:right w:w="108" w:type="dxa"/>
          </w:tblCellMar>
        </w:tblPrEx>
        <w:trPr>
          <w:trHeight w:val="570" w:hRule="atLeast"/>
        </w:trPr>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其他资金</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w:t>
            </w:r>
          </w:p>
        </w:tc>
      </w:tr>
      <w:tr>
        <w:tblPrEx>
          <w:tblCellMar>
            <w:top w:w="0" w:type="dxa"/>
            <w:left w:w="108" w:type="dxa"/>
            <w:bottom w:w="0" w:type="dxa"/>
            <w:right w:w="108" w:type="dxa"/>
          </w:tblCellMar>
        </w:tblPrEx>
        <w:trPr>
          <w:trHeight w:val="720" w:hRule="atLeast"/>
        </w:trPr>
        <w:tc>
          <w:tcPr>
            <w:tcW w:w="846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年度绩效目标</w:t>
            </w:r>
          </w:p>
        </w:tc>
      </w:tr>
      <w:tr>
        <w:tblPrEx>
          <w:tblCellMar>
            <w:top w:w="0" w:type="dxa"/>
            <w:left w:w="108" w:type="dxa"/>
            <w:bottom w:w="0" w:type="dxa"/>
            <w:right w:w="108" w:type="dxa"/>
          </w:tblCellMar>
        </w:tblPrEx>
        <w:trPr>
          <w:trHeight w:val="720" w:hRule="atLeast"/>
        </w:trPr>
        <w:tc>
          <w:tcPr>
            <w:tcW w:w="846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开展渔政执法监管，保护水生生态环境</w:t>
            </w:r>
          </w:p>
        </w:tc>
      </w:tr>
      <w:tr>
        <w:tblPrEx>
          <w:tblCellMar>
            <w:top w:w="0" w:type="dxa"/>
            <w:left w:w="108" w:type="dxa"/>
            <w:bottom w:w="0" w:type="dxa"/>
            <w:right w:w="108" w:type="dxa"/>
          </w:tblCellMar>
        </w:tblPrEx>
        <w:trPr>
          <w:trHeight w:val="799"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一级指标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二级指标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三级指标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年度指标值</w:t>
            </w:r>
          </w:p>
        </w:tc>
      </w:tr>
      <w:tr>
        <w:trPr>
          <w:trHeight w:val="750" w:hRule="atLeast"/>
        </w:trPr>
        <w:tc>
          <w:tcPr>
            <w:tcW w:w="282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产出指标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数量指标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渔政执法监管</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30次</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质量指标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渔政执法监管有效率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时效指标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监督执法工作完成及时性</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成本指标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资金利用率</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效益指标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经济效益指标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水生生物保护</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社会效益指标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社会影响度</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有效提升</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生态效益指标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恢复渔业生态环境</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有效达标</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可持续影响指标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水生生物资源利用率</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可持续</w:t>
            </w:r>
          </w:p>
        </w:tc>
      </w:tr>
      <w:tr>
        <w:tblPrEx>
          <w:tblCellMar>
            <w:top w:w="0" w:type="dxa"/>
            <w:left w:w="108" w:type="dxa"/>
            <w:bottom w:w="0" w:type="dxa"/>
            <w:right w:w="108" w:type="dxa"/>
          </w:tblCellMar>
        </w:tblPrEx>
        <w:trPr>
          <w:trHeight w:val="750"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满意度指标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服务对象满意度指标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市民满意度</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100%</w:t>
            </w:r>
          </w:p>
        </w:tc>
      </w:tr>
    </w:tbl>
    <w:p>
      <w:pPr>
        <w:widowControl/>
        <w:spacing w:line="600" w:lineRule="exact"/>
        <w:ind w:firstLine="640"/>
        <w:jc w:val="left"/>
        <w:rPr>
          <w:rFonts w:ascii="仿宋_GB2312" w:eastAsia="仿宋_GB2312"/>
          <w:color w:val="000000"/>
          <w:sz w:val="32"/>
          <w:szCs w:val="30"/>
          <w:highlight w:val="none"/>
        </w:rPr>
      </w:pPr>
    </w:p>
    <w:p>
      <w:pPr>
        <w:widowControl/>
        <w:spacing w:line="600" w:lineRule="exact"/>
        <w:ind w:firstLine="640" w:firstLineChars="20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3.农业技术推广中心一级项目</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1）项目概述</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提高作物产量，减少化肥用量</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rPr>
        <w:t>）实施主体</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景德镇市农业技术推广中心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）实施周期</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2022年1月-12月</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ascii="仿宋_GB2312" w:eastAsia="仿宋_GB2312"/>
          <w:color w:val="000000"/>
          <w:sz w:val="32"/>
          <w:szCs w:val="30"/>
          <w:highlight w:val="none"/>
        </w:rPr>
      </w:pPr>
      <w:r>
        <w:rPr>
          <w:rFonts w:hint="eastAsia" w:ascii="仿宋_GB2312" w:hAnsi="宋体" w:eastAsia="仿宋_GB2312" w:cs="仿宋_GB2312"/>
          <w:sz w:val="32"/>
          <w:szCs w:val="32"/>
          <w:highlight w:val="none"/>
          <w:lang w:val="en-US" w:eastAsia="zh-CN"/>
        </w:rPr>
        <w:t>景德镇市2022年年初预算安排专项资金6万元。</w:t>
      </w:r>
    </w:p>
    <w:p>
      <w:pPr>
        <w:widowControl/>
        <w:spacing w:line="600" w:lineRule="exact"/>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 xml:space="preserve">   </w:t>
      </w: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rPr>
        <w:t>）绩效目标和指标</w:t>
      </w:r>
    </w:p>
    <w:tbl>
      <w:tblPr>
        <w:tblStyle w:val="6"/>
        <w:tblW w:w="8460" w:type="dxa"/>
        <w:tblInd w:w="93" w:type="dxa"/>
        <w:tblLayout w:type="autofit"/>
        <w:tblCellMar>
          <w:top w:w="0" w:type="dxa"/>
          <w:left w:w="108" w:type="dxa"/>
          <w:bottom w:w="0" w:type="dxa"/>
          <w:right w:w="108" w:type="dxa"/>
        </w:tblCellMar>
      </w:tblPr>
      <w:tblGrid>
        <w:gridCol w:w="940"/>
        <w:gridCol w:w="940"/>
        <w:gridCol w:w="940"/>
        <w:gridCol w:w="940"/>
        <w:gridCol w:w="940"/>
        <w:gridCol w:w="940"/>
        <w:gridCol w:w="940"/>
        <w:gridCol w:w="1880"/>
      </w:tblGrid>
      <w:tr>
        <w:tblPrEx>
          <w:tblCellMar>
            <w:top w:w="0" w:type="dxa"/>
            <w:left w:w="108" w:type="dxa"/>
            <w:bottom w:w="0" w:type="dxa"/>
            <w:right w:w="108" w:type="dxa"/>
          </w:tblCellMar>
        </w:tblPrEx>
        <w:trPr>
          <w:trHeight w:val="645" w:hRule="atLeast"/>
        </w:trPr>
        <w:tc>
          <w:tcPr>
            <w:tcW w:w="8460" w:type="dxa"/>
            <w:gridSpan w:val="8"/>
            <w:tcBorders>
              <w:top w:val="nil"/>
              <w:left w:val="nil"/>
              <w:bottom w:val="nil"/>
              <w:right w:val="nil"/>
            </w:tcBorders>
            <w:shd w:val="clear" w:color="auto" w:fill="auto"/>
            <w:vAlign w:val="center"/>
          </w:tcPr>
          <w:p>
            <w:pPr>
              <w:widowControl/>
              <w:jc w:val="center"/>
              <w:rPr>
                <w:rFonts w:ascii="宋体" w:hAnsi="宋体" w:cs="Arial"/>
                <w:b/>
                <w:bCs/>
                <w:color w:val="000000"/>
                <w:kern w:val="0"/>
                <w:sz w:val="32"/>
                <w:szCs w:val="32"/>
                <w:highlight w:val="none"/>
              </w:rPr>
            </w:pPr>
            <w:r>
              <w:rPr>
                <w:rFonts w:hint="eastAsia" w:ascii="宋体" w:hAnsi="宋体" w:cs="Arial"/>
                <w:b/>
                <w:bCs/>
                <w:color w:val="000000"/>
                <w:kern w:val="0"/>
                <w:sz w:val="32"/>
                <w:szCs w:val="32"/>
                <w:highlight w:val="none"/>
              </w:rPr>
              <w:t>景德镇市农业技术推广中心一级项目绩效目标表</w:t>
            </w:r>
          </w:p>
        </w:tc>
      </w:tr>
      <w:tr>
        <w:tblPrEx>
          <w:tblCellMar>
            <w:top w:w="0" w:type="dxa"/>
            <w:left w:w="108" w:type="dxa"/>
            <w:bottom w:w="0" w:type="dxa"/>
            <w:right w:w="108" w:type="dxa"/>
          </w:tblCellMar>
        </w:tblPrEx>
        <w:trPr>
          <w:trHeight w:val="270" w:hRule="atLeast"/>
        </w:trPr>
        <w:tc>
          <w:tcPr>
            <w:tcW w:w="940" w:type="dxa"/>
            <w:tcBorders>
              <w:top w:val="nil"/>
              <w:left w:val="nil"/>
              <w:bottom w:val="nil"/>
              <w:right w:val="nil"/>
            </w:tcBorders>
            <w:shd w:val="clear" w:color="auto" w:fill="auto"/>
          </w:tcPr>
          <w:p>
            <w:pPr>
              <w:widowControl/>
              <w:rPr>
                <w:rFonts w:cs="Arial"/>
                <w:color w:val="000000"/>
                <w:kern w:val="0"/>
                <w:highlight w:val="none"/>
              </w:rPr>
            </w:pPr>
          </w:p>
        </w:tc>
        <w:tc>
          <w:tcPr>
            <w:tcW w:w="940" w:type="dxa"/>
            <w:tcBorders>
              <w:top w:val="nil"/>
              <w:left w:val="nil"/>
              <w:bottom w:val="nil"/>
              <w:right w:val="nil"/>
            </w:tcBorders>
            <w:shd w:val="clear" w:color="auto" w:fill="auto"/>
          </w:tcPr>
          <w:p>
            <w:pPr>
              <w:widowControl/>
              <w:rPr>
                <w:rFonts w:cs="Arial"/>
                <w:color w:val="000000"/>
                <w:kern w:val="0"/>
                <w:highlight w:val="none"/>
              </w:rPr>
            </w:pPr>
          </w:p>
        </w:tc>
        <w:tc>
          <w:tcPr>
            <w:tcW w:w="1880" w:type="dxa"/>
            <w:gridSpan w:val="2"/>
            <w:tcBorders>
              <w:top w:val="nil"/>
              <w:left w:val="nil"/>
              <w:bottom w:val="single" w:color="auto" w:sz="4" w:space="0"/>
              <w:right w:val="nil"/>
            </w:tcBorders>
            <w:shd w:val="clear" w:color="auto" w:fill="auto"/>
          </w:tcPr>
          <w:p>
            <w:pPr>
              <w:widowControl/>
              <w:rPr>
                <w:rFonts w:cs="Arial"/>
                <w:color w:val="000000"/>
                <w:kern w:val="0"/>
                <w:highlight w:val="none"/>
              </w:rPr>
            </w:pPr>
            <w:r>
              <w:rPr>
                <w:rFonts w:cs="Arial"/>
                <w:color w:val="000000"/>
                <w:kern w:val="0"/>
                <w:highlight w:val="none"/>
              </w:rPr>
              <w:t>　</w:t>
            </w:r>
          </w:p>
        </w:tc>
        <w:tc>
          <w:tcPr>
            <w:tcW w:w="2820" w:type="dxa"/>
            <w:gridSpan w:val="3"/>
            <w:tcBorders>
              <w:top w:val="nil"/>
              <w:left w:val="nil"/>
              <w:bottom w:val="nil"/>
              <w:right w:val="nil"/>
            </w:tcBorders>
            <w:shd w:val="clear" w:color="auto" w:fill="auto"/>
          </w:tcPr>
          <w:p>
            <w:pPr>
              <w:widowControl/>
              <w:rPr>
                <w:rFonts w:cs="Arial"/>
                <w:color w:val="000000"/>
                <w:kern w:val="0"/>
                <w:highlight w:val="none"/>
              </w:rPr>
            </w:pPr>
          </w:p>
        </w:tc>
        <w:tc>
          <w:tcPr>
            <w:tcW w:w="1880" w:type="dxa"/>
            <w:tcBorders>
              <w:top w:val="nil"/>
              <w:left w:val="nil"/>
              <w:bottom w:val="nil"/>
              <w:right w:val="nil"/>
            </w:tcBorders>
            <w:shd w:val="clear" w:color="auto" w:fill="auto"/>
          </w:tcPr>
          <w:p>
            <w:pPr>
              <w:widowControl/>
              <w:rPr>
                <w:rFonts w:cs="Arial"/>
                <w:color w:val="000000"/>
                <w:kern w:val="0"/>
                <w:highlight w:val="none"/>
              </w:rPr>
            </w:pPr>
          </w:p>
        </w:tc>
      </w:tr>
      <w:tr>
        <w:tblPrEx>
          <w:tblCellMar>
            <w:top w:w="0" w:type="dxa"/>
            <w:left w:w="108" w:type="dxa"/>
            <w:bottom w:w="0" w:type="dxa"/>
            <w:right w:w="108" w:type="dxa"/>
          </w:tblCellMar>
        </w:tblPrEx>
        <w:trPr>
          <w:trHeight w:val="720" w:hRule="atLeast"/>
        </w:trPr>
        <w:tc>
          <w:tcPr>
            <w:tcW w:w="1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项目名称</w:t>
            </w:r>
          </w:p>
        </w:tc>
        <w:tc>
          <w:tcPr>
            <w:tcW w:w="658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b/>
                <w:bCs/>
                <w:color w:val="000000"/>
                <w:kern w:val="0"/>
                <w:sz w:val="20"/>
                <w:szCs w:val="20"/>
                <w:highlight w:val="none"/>
              </w:rPr>
            </w:pPr>
            <w:r>
              <w:rPr>
                <w:rFonts w:hint="eastAsia" w:ascii="宋体" w:hAnsi="宋体" w:cs="Arial"/>
                <w:b/>
                <w:bCs/>
                <w:color w:val="000000"/>
                <w:kern w:val="0"/>
                <w:sz w:val="20"/>
                <w:szCs w:val="20"/>
                <w:highlight w:val="none"/>
              </w:rPr>
              <w:t>农业资源保护修复与利用</w:t>
            </w:r>
          </w:p>
        </w:tc>
      </w:tr>
      <w:tr>
        <w:tblPrEx>
          <w:tblCellMar>
            <w:top w:w="0" w:type="dxa"/>
            <w:left w:w="108" w:type="dxa"/>
            <w:bottom w:w="0" w:type="dxa"/>
            <w:right w:w="108" w:type="dxa"/>
          </w:tblCellMar>
        </w:tblPrEx>
        <w:trPr>
          <w:trHeight w:val="720" w:hRule="atLeast"/>
        </w:trPr>
        <w:tc>
          <w:tcPr>
            <w:tcW w:w="1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主管部门及代码</w:t>
            </w:r>
          </w:p>
        </w:tc>
        <w:tc>
          <w:tcPr>
            <w:tcW w:w="2820"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景德镇市农业农村局301001</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实施单位</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景德镇市农业技术推广中心</w:t>
            </w:r>
          </w:p>
        </w:tc>
      </w:tr>
      <w:tr>
        <w:trPr>
          <w:trHeight w:val="570" w:hRule="atLeast"/>
        </w:trPr>
        <w:tc>
          <w:tcPr>
            <w:tcW w:w="188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项目资金(万元)</w:t>
            </w: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年度资金总额      </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6</w:t>
            </w:r>
          </w:p>
        </w:tc>
      </w:tr>
      <w:tr>
        <w:tblPrEx>
          <w:tblCellMar>
            <w:top w:w="0" w:type="dxa"/>
            <w:left w:w="108" w:type="dxa"/>
            <w:bottom w:w="0" w:type="dxa"/>
            <w:right w:w="108" w:type="dxa"/>
          </w:tblCellMar>
        </w:tblPrEx>
        <w:trPr>
          <w:trHeight w:val="570" w:hRule="atLeast"/>
        </w:trPr>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其中:财政拨款</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6</w:t>
            </w:r>
          </w:p>
        </w:tc>
      </w:tr>
      <w:tr>
        <w:tblPrEx>
          <w:tblCellMar>
            <w:top w:w="0" w:type="dxa"/>
            <w:left w:w="108" w:type="dxa"/>
            <w:bottom w:w="0" w:type="dxa"/>
            <w:right w:w="108" w:type="dxa"/>
          </w:tblCellMar>
        </w:tblPrEx>
        <w:trPr>
          <w:trHeight w:val="570" w:hRule="atLeast"/>
        </w:trPr>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其他资金</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w:t>
            </w:r>
          </w:p>
        </w:tc>
      </w:tr>
      <w:tr>
        <w:tblPrEx>
          <w:tblCellMar>
            <w:top w:w="0" w:type="dxa"/>
            <w:left w:w="108" w:type="dxa"/>
            <w:bottom w:w="0" w:type="dxa"/>
            <w:right w:w="108" w:type="dxa"/>
          </w:tblCellMar>
        </w:tblPrEx>
        <w:trPr>
          <w:trHeight w:val="720" w:hRule="atLeast"/>
        </w:trPr>
        <w:tc>
          <w:tcPr>
            <w:tcW w:w="846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年度绩效目标</w:t>
            </w:r>
          </w:p>
        </w:tc>
      </w:tr>
      <w:tr>
        <w:tblPrEx>
          <w:tblCellMar>
            <w:top w:w="0" w:type="dxa"/>
            <w:left w:w="108" w:type="dxa"/>
            <w:bottom w:w="0" w:type="dxa"/>
            <w:right w:w="108" w:type="dxa"/>
          </w:tblCellMar>
        </w:tblPrEx>
        <w:trPr>
          <w:trHeight w:val="720" w:hRule="atLeast"/>
        </w:trPr>
        <w:tc>
          <w:tcPr>
            <w:tcW w:w="846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提高作物产量，减少化肥用量</w:t>
            </w:r>
          </w:p>
        </w:tc>
      </w:tr>
      <w:tr>
        <w:tblPrEx>
          <w:tblCellMar>
            <w:top w:w="0" w:type="dxa"/>
            <w:left w:w="108" w:type="dxa"/>
            <w:bottom w:w="0" w:type="dxa"/>
            <w:right w:w="108" w:type="dxa"/>
          </w:tblCellMar>
        </w:tblPrEx>
        <w:trPr>
          <w:trHeight w:val="799"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一级指标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二级指标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三级指标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年度指标值</w:t>
            </w:r>
          </w:p>
        </w:tc>
      </w:tr>
      <w:tr>
        <w:trPr>
          <w:trHeight w:val="750" w:hRule="atLeast"/>
        </w:trPr>
        <w:tc>
          <w:tcPr>
            <w:tcW w:w="282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产出指标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数量指标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特色水稻品牌形成数量</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2个</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质量指标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优质水稻提纯复壮数量</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30斤</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时效指标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项目完成及时率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成本指标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央行资金开展利率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效益指标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经济效益指标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高效节水农业模式推广单亩成本</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41元/亩</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社会效益指标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施肥观念改变</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改变</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生态效益指标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改善生态环境，提高耕地质量</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改善</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可持续影响指标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耕地可持续利用</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可持续</w:t>
            </w:r>
          </w:p>
        </w:tc>
      </w:tr>
      <w:tr>
        <w:tblPrEx>
          <w:tblCellMar>
            <w:top w:w="0" w:type="dxa"/>
            <w:left w:w="108" w:type="dxa"/>
            <w:bottom w:w="0" w:type="dxa"/>
            <w:right w:w="108" w:type="dxa"/>
          </w:tblCellMar>
        </w:tblPrEx>
        <w:trPr>
          <w:trHeight w:val="750"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满意度指标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服务对象满意度指标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受益农民满意度</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满意</w:t>
            </w:r>
          </w:p>
        </w:tc>
      </w:tr>
    </w:tbl>
    <w:p>
      <w:pPr>
        <w:widowControl/>
        <w:spacing w:line="600" w:lineRule="exact"/>
        <w:jc w:val="left"/>
        <w:rPr>
          <w:rFonts w:ascii="仿宋_GB2312" w:eastAsia="仿宋_GB2312"/>
          <w:color w:val="000000"/>
          <w:sz w:val="32"/>
          <w:szCs w:val="30"/>
          <w:highlight w:val="none"/>
        </w:rPr>
      </w:pPr>
    </w:p>
    <w:p>
      <w:pPr>
        <w:widowControl/>
        <w:spacing w:line="600" w:lineRule="exact"/>
        <w:ind w:firstLine="640" w:firstLineChars="20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4.农业技术推广中心一级项目</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1）项目概述</w:t>
      </w:r>
    </w:p>
    <w:p>
      <w:pPr>
        <w:widowControl/>
        <w:spacing w:line="600" w:lineRule="exact"/>
        <w:ind w:firstLine="640" w:firstLineChars="20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 xml:space="preserve">“超级稻及其高产栽培集成技术推广”，绩效指标在全市计划推广水稻面积32万亩、亩均增产25公斤、全年增粮800万公斤；“籼改耕”高产高效栽培集成技术示范推广，绩效指标确定推广品种4-5个，示范面积7万亩，提高单产50公斤；“水稻轻简高效栽培集成技术推广”绩效指标推广面积40万亩（抛秧7万亩、机插20万亩、直播13万亩），占全年水稻计划种植面积（125万亩）的32%，提高功效5—20倍（抛秧提高功效5-6倍、机插15-20倍、直播10倍）  </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rPr>
        <w:t>）实施主体</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景德镇市农业技术推广中心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）实施周期</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2022年1月-12月</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ascii="仿宋_GB2312" w:eastAsia="仿宋_GB2312"/>
          <w:color w:val="000000"/>
          <w:sz w:val="32"/>
          <w:szCs w:val="30"/>
          <w:highlight w:val="none"/>
        </w:rPr>
      </w:pPr>
      <w:r>
        <w:rPr>
          <w:rFonts w:hint="eastAsia" w:ascii="仿宋_GB2312" w:hAnsi="宋体" w:eastAsia="仿宋_GB2312" w:cs="仿宋_GB2312"/>
          <w:sz w:val="32"/>
          <w:szCs w:val="32"/>
          <w:highlight w:val="none"/>
          <w:lang w:val="en-US" w:eastAsia="zh-CN"/>
        </w:rPr>
        <w:t>景德镇市2022年年初预算安排专项资金5万元。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rPr>
        <w:t>）绩效目标和指标</w:t>
      </w:r>
    </w:p>
    <w:tbl>
      <w:tblPr>
        <w:tblStyle w:val="6"/>
        <w:tblW w:w="8460" w:type="dxa"/>
        <w:tblInd w:w="93" w:type="dxa"/>
        <w:tblLayout w:type="autofit"/>
        <w:tblCellMar>
          <w:top w:w="0" w:type="dxa"/>
          <w:left w:w="108" w:type="dxa"/>
          <w:bottom w:w="0" w:type="dxa"/>
          <w:right w:w="108" w:type="dxa"/>
        </w:tblCellMar>
      </w:tblPr>
      <w:tblGrid>
        <w:gridCol w:w="940"/>
        <w:gridCol w:w="940"/>
        <w:gridCol w:w="940"/>
        <w:gridCol w:w="940"/>
        <w:gridCol w:w="940"/>
        <w:gridCol w:w="940"/>
        <w:gridCol w:w="940"/>
        <w:gridCol w:w="1880"/>
      </w:tblGrid>
      <w:tr>
        <w:tblPrEx>
          <w:tblCellMar>
            <w:top w:w="0" w:type="dxa"/>
            <w:left w:w="108" w:type="dxa"/>
            <w:bottom w:w="0" w:type="dxa"/>
            <w:right w:w="108" w:type="dxa"/>
          </w:tblCellMar>
        </w:tblPrEx>
        <w:trPr>
          <w:trHeight w:val="645" w:hRule="atLeast"/>
        </w:trPr>
        <w:tc>
          <w:tcPr>
            <w:tcW w:w="8460" w:type="dxa"/>
            <w:gridSpan w:val="8"/>
            <w:tcBorders>
              <w:top w:val="nil"/>
              <w:left w:val="nil"/>
              <w:bottom w:val="nil"/>
              <w:right w:val="nil"/>
            </w:tcBorders>
            <w:shd w:val="clear" w:color="auto" w:fill="auto"/>
            <w:vAlign w:val="center"/>
          </w:tcPr>
          <w:p>
            <w:pPr>
              <w:widowControl/>
              <w:jc w:val="center"/>
              <w:rPr>
                <w:rFonts w:ascii="宋体" w:hAnsi="宋体" w:cs="Arial"/>
                <w:b/>
                <w:bCs/>
                <w:color w:val="000000"/>
                <w:kern w:val="0"/>
                <w:sz w:val="32"/>
                <w:szCs w:val="32"/>
                <w:highlight w:val="none"/>
              </w:rPr>
            </w:pPr>
            <w:r>
              <w:rPr>
                <w:rFonts w:hint="eastAsia" w:ascii="宋体" w:hAnsi="宋体" w:cs="Arial"/>
                <w:b/>
                <w:bCs/>
                <w:color w:val="000000"/>
                <w:kern w:val="0"/>
                <w:sz w:val="32"/>
                <w:szCs w:val="32"/>
                <w:highlight w:val="none"/>
              </w:rPr>
              <w:t>景德镇市农业技术推广中心一级项目绩效目标表</w:t>
            </w:r>
          </w:p>
        </w:tc>
      </w:tr>
      <w:tr>
        <w:tblPrEx>
          <w:tblCellMar>
            <w:top w:w="0" w:type="dxa"/>
            <w:left w:w="108" w:type="dxa"/>
            <w:bottom w:w="0" w:type="dxa"/>
            <w:right w:w="108" w:type="dxa"/>
          </w:tblCellMar>
        </w:tblPrEx>
        <w:trPr>
          <w:trHeight w:val="270" w:hRule="atLeast"/>
        </w:trPr>
        <w:tc>
          <w:tcPr>
            <w:tcW w:w="940" w:type="dxa"/>
            <w:tcBorders>
              <w:top w:val="nil"/>
              <w:left w:val="nil"/>
              <w:bottom w:val="nil"/>
              <w:right w:val="nil"/>
            </w:tcBorders>
            <w:shd w:val="clear" w:color="auto" w:fill="auto"/>
          </w:tcPr>
          <w:p>
            <w:pPr>
              <w:widowControl/>
              <w:rPr>
                <w:rFonts w:cs="Arial"/>
                <w:color w:val="000000"/>
                <w:kern w:val="0"/>
                <w:highlight w:val="none"/>
              </w:rPr>
            </w:pPr>
          </w:p>
        </w:tc>
        <w:tc>
          <w:tcPr>
            <w:tcW w:w="940" w:type="dxa"/>
            <w:tcBorders>
              <w:top w:val="nil"/>
              <w:left w:val="nil"/>
              <w:bottom w:val="nil"/>
              <w:right w:val="nil"/>
            </w:tcBorders>
            <w:shd w:val="clear" w:color="auto" w:fill="auto"/>
          </w:tcPr>
          <w:p>
            <w:pPr>
              <w:widowControl/>
              <w:rPr>
                <w:rFonts w:cs="Arial"/>
                <w:color w:val="000000"/>
                <w:kern w:val="0"/>
                <w:highlight w:val="none"/>
              </w:rPr>
            </w:pPr>
          </w:p>
        </w:tc>
        <w:tc>
          <w:tcPr>
            <w:tcW w:w="1880" w:type="dxa"/>
            <w:gridSpan w:val="2"/>
            <w:tcBorders>
              <w:top w:val="nil"/>
              <w:left w:val="nil"/>
              <w:bottom w:val="single" w:color="auto" w:sz="4" w:space="0"/>
              <w:right w:val="nil"/>
            </w:tcBorders>
            <w:shd w:val="clear" w:color="auto" w:fill="auto"/>
          </w:tcPr>
          <w:p>
            <w:pPr>
              <w:widowControl/>
              <w:rPr>
                <w:rFonts w:cs="Arial"/>
                <w:color w:val="000000"/>
                <w:kern w:val="0"/>
                <w:highlight w:val="none"/>
              </w:rPr>
            </w:pPr>
            <w:r>
              <w:rPr>
                <w:rFonts w:cs="Arial"/>
                <w:color w:val="000000"/>
                <w:kern w:val="0"/>
                <w:highlight w:val="none"/>
              </w:rPr>
              <w:t>　</w:t>
            </w:r>
          </w:p>
        </w:tc>
        <w:tc>
          <w:tcPr>
            <w:tcW w:w="2820" w:type="dxa"/>
            <w:gridSpan w:val="3"/>
            <w:tcBorders>
              <w:top w:val="nil"/>
              <w:left w:val="nil"/>
              <w:bottom w:val="nil"/>
              <w:right w:val="nil"/>
            </w:tcBorders>
            <w:shd w:val="clear" w:color="auto" w:fill="auto"/>
          </w:tcPr>
          <w:p>
            <w:pPr>
              <w:widowControl/>
              <w:rPr>
                <w:rFonts w:cs="Arial"/>
                <w:color w:val="000000"/>
                <w:kern w:val="0"/>
                <w:highlight w:val="none"/>
              </w:rPr>
            </w:pPr>
          </w:p>
        </w:tc>
        <w:tc>
          <w:tcPr>
            <w:tcW w:w="1880" w:type="dxa"/>
            <w:tcBorders>
              <w:top w:val="nil"/>
              <w:left w:val="nil"/>
              <w:bottom w:val="nil"/>
              <w:right w:val="nil"/>
            </w:tcBorders>
            <w:shd w:val="clear" w:color="auto" w:fill="auto"/>
          </w:tcPr>
          <w:p>
            <w:pPr>
              <w:widowControl/>
              <w:rPr>
                <w:rFonts w:cs="Arial"/>
                <w:color w:val="000000"/>
                <w:kern w:val="0"/>
                <w:highlight w:val="none"/>
              </w:rPr>
            </w:pPr>
          </w:p>
        </w:tc>
      </w:tr>
      <w:tr>
        <w:tblPrEx>
          <w:tblCellMar>
            <w:top w:w="0" w:type="dxa"/>
            <w:left w:w="108" w:type="dxa"/>
            <w:bottom w:w="0" w:type="dxa"/>
            <w:right w:w="108" w:type="dxa"/>
          </w:tblCellMar>
        </w:tblPrEx>
        <w:trPr>
          <w:trHeight w:val="720" w:hRule="atLeast"/>
        </w:trPr>
        <w:tc>
          <w:tcPr>
            <w:tcW w:w="1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项目名称</w:t>
            </w:r>
          </w:p>
        </w:tc>
        <w:tc>
          <w:tcPr>
            <w:tcW w:w="658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b/>
                <w:bCs/>
                <w:color w:val="000000"/>
                <w:kern w:val="0"/>
                <w:sz w:val="20"/>
                <w:szCs w:val="20"/>
                <w:highlight w:val="none"/>
              </w:rPr>
            </w:pPr>
            <w:r>
              <w:rPr>
                <w:rFonts w:hint="eastAsia" w:ascii="宋体" w:hAnsi="宋体" w:cs="Arial"/>
                <w:b/>
                <w:bCs/>
                <w:color w:val="000000"/>
                <w:kern w:val="0"/>
                <w:sz w:val="20"/>
                <w:szCs w:val="20"/>
                <w:highlight w:val="none"/>
              </w:rPr>
              <w:t>农业技术推广专项经费</w:t>
            </w:r>
          </w:p>
        </w:tc>
      </w:tr>
      <w:tr>
        <w:tblPrEx>
          <w:tblCellMar>
            <w:top w:w="0" w:type="dxa"/>
            <w:left w:w="108" w:type="dxa"/>
            <w:bottom w:w="0" w:type="dxa"/>
            <w:right w:w="108" w:type="dxa"/>
          </w:tblCellMar>
        </w:tblPrEx>
        <w:trPr>
          <w:trHeight w:val="720" w:hRule="atLeast"/>
        </w:trPr>
        <w:tc>
          <w:tcPr>
            <w:tcW w:w="1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主管部门及代码</w:t>
            </w:r>
          </w:p>
        </w:tc>
        <w:tc>
          <w:tcPr>
            <w:tcW w:w="2820"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景德镇市农业农村局301001</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实施单位</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景德镇市农业技术推广中心</w:t>
            </w:r>
          </w:p>
        </w:tc>
      </w:tr>
      <w:tr>
        <w:trPr>
          <w:trHeight w:val="570" w:hRule="atLeast"/>
        </w:trPr>
        <w:tc>
          <w:tcPr>
            <w:tcW w:w="188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项目资金(万元)</w:t>
            </w: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年度资金总额      </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5</w:t>
            </w:r>
          </w:p>
        </w:tc>
      </w:tr>
      <w:tr>
        <w:tblPrEx>
          <w:tblCellMar>
            <w:top w:w="0" w:type="dxa"/>
            <w:left w:w="108" w:type="dxa"/>
            <w:bottom w:w="0" w:type="dxa"/>
            <w:right w:w="108" w:type="dxa"/>
          </w:tblCellMar>
        </w:tblPrEx>
        <w:trPr>
          <w:trHeight w:val="570" w:hRule="atLeast"/>
        </w:trPr>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其中:财政拨款</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5</w:t>
            </w:r>
          </w:p>
        </w:tc>
      </w:tr>
      <w:tr>
        <w:tblPrEx>
          <w:tblCellMar>
            <w:top w:w="0" w:type="dxa"/>
            <w:left w:w="108" w:type="dxa"/>
            <w:bottom w:w="0" w:type="dxa"/>
            <w:right w:w="108" w:type="dxa"/>
          </w:tblCellMar>
        </w:tblPrEx>
        <w:trPr>
          <w:trHeight w:val="570" w:hRule="atLeast"/>
        </w:trPr>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其他资金</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w:t>
            </w:r>
          </w:p>
        </w:tc>
      </w:tr>
      <w:tr>
        <w:tblPrEx>
          <w:tblCellMar>
            <w:top w:w="0" w:type="dxa"/>
            <w:left w:w="108" w:type="dxa"/>
            <w:bottom w:w="0" w:type="dxa"/>
            <w:right w:w="108" w:type="dxa"/>
          </w:tblCellMar>
        </w:tblPrEx>
        <w:trPr>
          <w:trHeight w:val="720" w:hRule="atLeast"/>
        </w:trPr>
        <w:tc>
          <w:tcPr>
            <w:tcW w:w="846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年度绩效目标</w:t>
            </w:r>
          </w:p>
        </w:tc>
      </w:tr>
      <w:tr>
        <w:tblPrEx>
          <w:tblCellMar>
            <w:top w:w="0" w:type="dxa"/>
            <w:left w:w="108" w:type="dxa"/>
            <w:bottom w:w="0" w:type="dxa"/>
            <w:right w:w="108" w:type="dxa"/>
          </w:tblCellMar>
        </w:tblPrEx>
        <w:trPr>
          <w:trHeight w:val="1350" w:hRule="atLeast"/>
        </w:trPr>
        <w:tc>
          <w:tcPr>
            <w:tcW w:w="846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超级稻及其高产栽培集成技术推广”，绩效指标在全市计划推广水稻面积32万亩、亩均增产25公斤、全年增粮800万公斤；“籼改耕”高产高效栽培集成技术示范推广，绩效指标确定推广品种4-5个，示范面积7万亩，提高单产50公斤；“水稻轻简高效栽培集成技术推广”绩效指标推广面积40万亩（抛秧7万亩、机插20万亩、直播13万亩），占全年水稻计划种植面积（125万亩）的32%，提高功效5—20倍（抛秧提高功效5-6倍、机插15-20倍、直播10倍）</w:t>
            </w:r>
          </w:p>
        </w:tc>
      </w:tr>
      <w:tr>
        <w:tblPrEx>
          <w:tblCellMar>
            <w:top w:w="0" w:type="dxa"/>
            <w:left w:w="108" w:type="dxa"/>
            <w:bottom w:w="0" w:type="dxa"/>
            <w:right w:w="108" w:type="dxa"/>
          </w:tblCellMar>
        </w:tblPrEx>
        <w:trPr>
          <w:trHeight w:val="799"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一级指标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二级指标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三级指标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年度指标值</w:t>
            </w:r>
          </w:p>
        </w:tc>
      </w:tr>
      <w:tr>
        <w:trPr>
          <w:trHeight w:val="750" w:hRule="atLeast"/>
        </w:trPr>
        <w:tc>
          <w:tcPr>
            <w:tcW w:w="282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产出指标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数量指标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项目推进计划完成率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质量指标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节能量验收合格率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时效指标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项目延误率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成本指标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人力成本占总成本比率（%）</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50%</w:t>
            </w:r>
          </w:p>
        </w:tc>
      </w:tr>
      <w:tr>
        <w:tblPrEx>
          <w:tblCellMar>
            <w:top w:w="0" w:type="dxa"/>
            <w:left w:w="108" w:type="dxa"/>
            <w:bottom w:w="0" w:type="dxa"/>
            <w:right w:w="108" w:type="dxa"/>
          </w:tblCellMar>
        </w:tblPrEx>
        <w:trPr>
          <w:trHeight w:val="750" w:hRule="atLeast"/>
        </w:trPr>
        <w:tc>
          <w:tcPr>
            <w:tcW w:w="282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效益指标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经济效益指标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试验前后节能费用控制比</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98%</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社会效益指标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试验后节能费用控制比</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生态效益指标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试验节能标准达标率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可持续影响指标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项目可复制性</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满意度指标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服务对象满意度指标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满意度</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99%</w:t>
            </w:r>
          </w:p>
        </w:tc>
      </w:tr>
    </w:tbl>
    <w:p>
      <w:pPr>
        <w:widowControl/>
        <w:spacing w:line="600" w:lineRule="exact"/>
        <w:ind w:firstLine="640" w:firstLineChars="20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5.农业技术推广中心一级项目</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1）项目概述</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开展农民技术培训8-10次，下乡开展技术指导10次，加强宣传安全科学使用农药，提高农药利用率，促进农药减量工作进行</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 xml:space="preserve">   </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rPr>
        <w:t>）实施主体</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景德镇市农业技术推广中心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）实施周期</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2022年1月-12月</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ascii="仿宋_GB2312" w:eastAsia="仿宋_GB2312"/>
          <w:color w:val="000000"/>
          <w:sz w:val="32"/>
          <w:szCs w:val="30"/>
          <w:highlight w:val="none"/>
        </w:rPr>
      </w:pPr>
      <w:r>
        <w:rPr>
          <w:rFonts w:hint="eastAsia" w:ascii="仿宋_GB2312" w:hAnsi="宋体" w:eastAsia="仿宋_GB2312" w:cs="仿宋_GB2312"/>
          <w:sz w:val="32"/>
          <w:szCs w:val="32"/>
          <w:highlight w:val="none"/>
          <w:lang w:val="en-US" w:eastAsia="zh-CN"/>
        </w:rPr>
        <w:t>景德镇市2022年年初预算安排专项资金3万元。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rPr>
        <w:t>）绩效目标和指标</w:t>
      </w:r>
    </w:p>
    <w:tbl>
      <w:tblPr>
        <w:tblStyle w:val="6"/>
        <w:tblW w:w="8460" w:type="dxa"/>
        <w:tblInd w:w="93" w:type="dxa"/>
        <w:tblLayout w:type="autofit"/>
        <w:tblCellMar>
          <w:top w:w="0" w:type="dxa"/>
          <w:left w:w="108" w:type="dxa"/>
          <w:bottom w:w="0" w:type="dxa"/>
          <w:right w:w="108" w:type="dxa"/>
        </w:tblCellMar>
      </w:tblPr>
      <w:tblGrid>
        <w:gridCol w:w="940"/>
        <w:gridCol w:w="940"/>
        <w:gridCol w:w="940"/>
        <w:gridCol w:w="940"/>
        <w:gridCol w:w="940"/>
        <w:gridCol w:w="940"/>
        <w:gridCol w:w="940"/>
        <w:gridCol w:w="1880"/>
      </w:tblGrid>
      <w:tr>
        <w:tblPrEx>
          <w:tblCellMar>
            <w:top w:w="0" w:type="dxa"/>
            <w:left w:w="108" w:type="dxa"/>
            <w:bottom w:w="0" w:type="dxa"/>
            <w:right w:w="108" w:type="dxa"/>
          </w:tblCellMar>
        </w:tblPrEx>
        <w:trPr>
          <w:trHeight w:val="645" w:hRule="atLeast"/>
        </w:trPr>
        <w:tc>
          <w:tcPr>
            <w:tcW w:w="8460" w:type="dxa"/>
            <w:gridSpan w:val="8"/>
            <w:tcBorders>
              <w:top w:val="nil"/>
              <w:left w:val="nil"/>
              <w:bottom w:val="nil"/>
              <w:right w:val="nil"/>
            </w:tcBorders>
            <w:shd w:val="clear" w:color="auto" w:fill="auto"/>
            <w:vAlign w:val="center"/>
          </w:tcPr>
          <w:p>
            <w:pPr>
              <w:widowControl/>
              <w:jc w:val="center"/>
              <w:rPr>
                <w:rFonts w:ascii="宋体" w:hAnsi="宋体" w:cs="Arial"/>
                <w:b/>
                <w:bCs/>
                <w:color w:val="000000"/>
                <w:kern w:val="0"/>
                <w:sz w:val="32"/>
                <w:szCs w:val="32"/>
                <w:highlight w:val="none"/>
              </w:rPr>
            </w:pPr>
            <w:r>
              <w:rPr>
                <w:rFonts w:hint="eastAsia" w:ascii="宋体" w:hAnsi="宋体" w:cs="Arial"/>
                <w:b/>
                <w:bCs/>
                <w:color w:val="000000"/>
                <w:kern w:val="0"/>
                <w:sz w:val="32"/>
                <w:szCs w:val="32"/>
                <w:highlight w:val="none"/>
              </w:rPr>
              <w:t>景德镇市农业技术推广中心一级项目绩效目标表</w:t>
            </w:r>
          </w:p>
        </w:tc>
      </w:tr>
      <w:tr>
        <w:tblPrEx>
          <w:tblCellMar>
            <w:top w:w="0" w:type="dxa"/>
            <w:left w:w="108" w:type="dxa"/>
            <w:bottom w:w="0" w:type="dxa"/>
            <w:right w:w="108" w:type="dxa"/>
          </w:tblCellMar>
        </w:tblPrEx>
        <w:trPr>
          <w:trHeight w:val="270" w:hRule="atLeast"/>
        </w:trPr>
        <w:tc>
          <w:tcPr>
            <w:tcW w:w="940" w:type="dxa"/>
            <w:tcBorders>
              <w:top w:val="nil"/>
              <w:left w:val="nil"/>
              <w:bottom w:val="nil"/>
              <w:right w:val="nil"/>
            </w:tcBorders>
            <w:shd w:val="clear" w:color="auto" w:fill="auto"/>
          </w:tcPr>
          <w:p>
            <w:pPr>
              <w:widowControl/>
              <w:rPr>
                <w:rFonts w:cs="Arial"/>
                <w:color w:val="000000"/>
                <w:kern w:val="0"/>
                <w:highlight w:val="none"/>
              </w:rPr>
            </w:pPr>
          </w:p>
        </w:tc>
        <w:tc>
          <w:tcPr>
            <w:tcW w:w="940" w:type="dxa"/>
            <w:tcBorders>
              <w:top w:val="nil"/>
              <w:left w:val="nil"/>
              <w:bottom w:val="nil"/>
              <w:right w:val="nil"/>
            </w:tcBorders>
            <w:shd w:val="clear" w:color="auto" w:fill="auto"/>
          </w:tcPr>
          <w:p>
            <w:pPr>
              <w:widowControl/>
              <w:rPr>
                <w:rFonts w:cs="Arial"/>
                <w:color w:val="000000"/>
                <w:kern w:val="0"/>
                <w:highlight w:val="none"/>
              </w:rPr>
            </w:pPr>
          </w:p>
        </w:tc>
        <w:tc>
          <w:tcPr>
            <w:tcW w:w="1880" w:type="dxa"/>
            <w:gridSpan w:val="2"/>
            <w:tcBorders>
              <w:top w:val="nil"/>
              <w:left w:val="nil"/>
              <w:bottom w:val="single" w:color="auto" w:sz="4" w:space="0"/>
              <w:right w:val="nil"/>
            </w:tcBorders>
            <w:shd w:val="clear" w:color="auto" w:fill="auto"/>
          </w:tcPr>
          <w:p>
            <w:pPr>
              <w:widowControl/>
              <w:rPr>
                <w:rFonts w:cs="Arial"/>
                <w:color w:val="000000"/>
                <w:kern w:val="0"/>
                <w:highlight w:val="none"/>
              </w:rPr>
            </w:pPr>
            <w:r>
              <w:rPr>
                <w:rFonts w:cs="Arial"/>
                <w:color w:val="000000"/>
                <w:kern w:val="0"/>
                <w:highlight w:val="none"/>
              </w:rPr>
              <w:t>　</w:t>
            </w:r>
          </w:p>
        </w:tc>
        <w:tc>
          <w:tcPr>
            <w:tcW w:w="2820" w:type="dxa"/>
            <w:gridSpan w:val="3"/>
            <w:tcBorders>
              <w:top w:val="nil"/>
              <w:left w:val="nil"/>
              <w:bottom w:val="nil"/>
              <w:right w:val="nil"/>
            </w:tcBorders>
            <w:shd w:val="clear" w:color="auto" w:fill="auto"/>
          </w:tcPr>
          <w:p>
            <w:pPr>
              <w:widowControl/>
              <w:rPr>
                <w:rFonts w:cs="Arial"/>
                <w:color w:val="000000"/>
                <w:kern w:val="0"/>
                <w:highlight w:val="none"/>
              </w:rPr>
            </w:pPr>
          </w:p>
        </w:tc>
        <w:tc>
          <w:tcPr>
            <w:tcW w:w="1880" w:type="dxa"/>
            <w:tcBorders>
              <w:top w:val="nil"/>
              <w:left w:val="nil"/>
              <w:bottom w:val="nil"/>
              <w:right w:val="nil"/>
            </w:tcBorders>
            <w:shd w:val="clear" w:color="auto" w:fill="auto"/>
          </w:tcPr>
          <w:p>
            <w:pPr>
              <w:widowControl/>
              <w:rPr>
                <w:rFonts w:cs="Arial"/>
                <w:color w:val="000000"/>
                <w:kern w:val="0"/>
                <w:highlight w:val="none"/>
              </w:rPr>
            </w:pPr>
          </w:p>
        </w:tc>
      </w:tr>
      <w:tr>
        <w:tblPrEx>
          <w:tblCellMar>
            <w:top w:w="0" w:type="dxa"/>
            <w:left w:w="108" w:type="dxa"/>
            <w:bottom w:w="0" w:type="dxa"/>
            <w:right w:w="108" w:type="dxa"/>
          </w:tblCellMar>
        </w:tblPrEx>
        <w:trPr>
          <w:trHeight w:val="720" w:hRule="atLeast"/>
        </w:trPr>
        <w:tc>
          <w:tcPr>
            <w:tcW w:w="1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项目名称</w:t>
            </w:r>
          </w:p>
        </w:tc>
        <w:tc>
          <w:tcPr>
            <w:tcW w:w="658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b/>
                <w:bCs/>
                <w:color w:val="000000"/>
                <w:kern w:val="0"/>
                <w:sz w:val="20"/>
                <w:szCs w:val="20"/>
                <w:highlight w:val="none"/>
              </w:rPr>
            </w:pPr>
            <w:r>
              <w:rPr>
                <w:rFonts w:hint="eastAsia" w:ascii="宋体" w:hAnsi="宋体" w:cs="Arial"/>
                <w:b/>
                <w:bCs/>
                <w:color w:val="000000"/>
                <w:kern w:val="0"/>
                <w:sz w:val="20"/>
                <w:szCs w:val="20"/>
                <w:highlight w:val="none"/>
              </w:rPr>
              <w:t>农作物病虫害防治控制经费</w:t>
            </w:r>
          </w:p>
        </w:tc>
      </w:tr>
      <w:tr>
        <w:tblPrEx>
          <w:tblCellMar>
            <w:top w:w="0" w:type="dxa"/>
            <w:left w:w="108" w:type="dxa"/>
            <w:bottom w:w="0" w:type="dxa"/>
            <w:right w:w="108" w:type="dxa"/>
          </w:tblCellMar>
        </w:tblPrEx>
        <w:trPr>
          <w:trHeight w:val="720" w:hRule="atLeast"/>
        </w:trPr>
        <w:tc>
          <w:tcPr>
            <w:tcW w:w="1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主管部门及代码</w:t>
            </w:r>
          </w:p>
        </w:tc>
        <w:tc>
          <w:tcPr>
            <w:tcW w:w="2820"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景德镇市农业农村局301001</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实施单位</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景德镇市农业技术推广中心</w:t>
            </w:r>
          </w:p>
        </w:tc>
      </w:tr>
      <w:tr>
        <w:trPr>
          <w:trHeight w:val="570" w:hRule="atLeast"/>
        </w:trPr>
        <w:tc>
          <w:tcPr>
            <w:tcW w:w="188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项目资金(万元)</w:t>
            </w: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年度资金总额      </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3</w:t>
            </w:r>
          </w:p>
        </w:tc>
      </w:tr>
      <w:tr>
        <w:tblPrEx>
          <w:tblCellMar>
            <w:top w:w="0" w:type="dxa"/>
            <w:left w:w="108" w:type="dxa"/>
            <w:bottom w:w="0" w:type="dxa"/>
            <w:right w:w="108" w:type="dxa"/>
          </w:tblCellMar>
        </w:tblPrEx>
        <w:trPr>
          <w:trHeight w:val="570" w:hRule="atLeast"/>
        </w:trPr>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其中:财政拨款</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3</w:t>
            </w:r>
          </w:p>
        </w:tc>
      </w:tr>
      <w:tr>
        <w:tblPrEx>
          <w:tblCellMar>
            <w:top w:w="0" w:type="dxa"/>
            <w:left w:w="108" w:type="dxa"/>
            <w:bottom w:w="0" w:type="dxa"/>
            <w:right w:w="108" w:type="dxa"/>
          </w:tblCellMar>
        </w:tblPrEx>
        <w:trPr>
          <w:trHeight w:val="570" w:hRule="atLeast"/>
        </w:trPr>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188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xml:space="preserve">                                            其他资金</w:t>
            </w:r>
          </w:p>
        </w:tc>
        <w:tc>
          <w:tcPr>
            <w:tcW w:w="47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　</w:t>
            </w:r>
          </w:p>
        </w:tc>
      </w:tr>
      <w:tr>
        <w:tblPrEx>
          <w:tblCellMar>
            <w:top w:w="0" w:type="dxa"/>
            <w:left w:w="108" w:type="dxa"/>
            <w:bottom w:w="0" w:type="dxa"/>
            <w:right w:w="108" w:type="dxa"/>
          </w:tblCellMar>
        </w:tblPrEx>
        <w:trPr>
          <w:trHeight w:val="720" w:hRule="atLeast"/>
        </w:trPr>
        <w:tc>
          <w:tcPr>
            <w:tcW w:w="846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年度绩效目标</w:t>
            </w:r>
          </w:p>
        </w:tc>
      </w:tr>
      <w:tr>
        <w:tblPrEx>
          <w:tblCellMar>
            <w:top w:w="0" w:type="dxa"/>
            <w:left w:w="108" w:type="dxa"/>
            <w:bottom w:w="0" w:type="dxa"/>
            <w:right w:w="108" w:type="dxa"/>
          </w:tblCellMar>
        </w:tblPrEx>
        <w:trPr>
          <w:trHeight w:val="720" w:hRule="atLeast"/>
        </w:trPr>
        <w:tc>
          <w:tcPr>
            <w:tcW w:w="8460"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开展农民技术培训8-10次，下乡开展技术指导10次，加强宣传安全科学使用农药，提高农药利用率，促进农药减量工作进行</w:t>
            </w:r>
          </w:p>
        </w:tc>
      </w:tr>
      <w:tr>
        <w:tblPrEx>
          <w:tblCellMar>
            <w:top w:w="0" w:type="dxa"/>
            <w:left w:w="108" w:type="dxa"/>
            <w:bottom w:w="0" w:type="dxa"/>
            <w:right w:w="108" w:type="dxa"/>
          </w:tblCellMar>
        </w:tblPrEx>
        <w:trPr>
          <w:trHeight w:val="799"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一级指标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二级指标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三级指标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年度指标值</w:t>
            </w:r>
          </w:p>
        </w:tc>
      </w:tr>
      <w:tr>
        <w:trPr>
          <w:trHeight w:val="750" w:hRule="atLeast"/>
        </w:trPr>
        <w:tc>
          <w:tcPr>
            <w:tcW w:w="282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产出指标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数量指标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开展农民技术培训</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10次</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质量指标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病虫害防治效果</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明显提升</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时效指标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防治率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98%</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成本指标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资金使用率</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效益指标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经济效益指标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标准化技术成果转化经济效益（万元）</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3万元</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社会效益指标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科技转化推广应用率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100%</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生态效益指标</w:t>
            </w:r>
          </w:p>
        </w:tc>
        <w:tc>
          <w:tcPr>
            <w:tcW w:w="18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生态绿化贡献率</w:t>
            </w:r>
          </w:p>
        </w:tc>
        <w:tc>
          <w:tcPr>
            <w:tcW w:w="28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98%</w:t>
            </w:r>
          </w:p>
        </w:tc>
      </w:tr>
      <w:tr>
        <w:tblPrEx>
          <w:tblCellMar>
            <w:top w:w="0" w:type="dxa"/>
            <w:left w:w="108" w:type="dxa"/>
            <w:bottom w:w="0" w:type="dxa"/>
            <w:right w:w="108" w:type="dxa"/>
          </w:tblCellMar>
        </w:tblPrEx>
        <w:trPr>
          <w:trHeight w:val="750"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20"/>
                <w:szCs w:val="20"/>
                <w:highlight w:val="none"/>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可持续影响指标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病虫防治质控工作验收合格</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可复制可持续</w:t>
            </w:r>
          </w:p>
        </w:tc>
      </w:tr>
      <w:tr>
        <w:tblPrEx>
          <w:tblCellMar>
            <w:top w:w="0" w:type="dxa"/>
            <w:left w:w="108" w:type="dxa"/>
            <w:bottom w:w="0" w:type="dxa"/>
            <w:right w:w="108" w:type="dxa"/>
          </w:tblCellMar>
        </w:tblPrEx>
        <w:trPr>
          <w:trHeight w:val="750"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满意度指标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服务对象满意度指标</w:t>
            </w:r>
          </w:p>
        </w:tc>
        <w:tc>
          <w:tcPr>
            <w:tcW w:w="18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highlight w:val="none"/>
              </w:rPr>
            </w:pPr>
            <w:r>
              <w:rPr>
                <w:rFonts w:hint="eastAsia" w:ascii="宋体" w:hAnsi="宋体" w:cs="Arial"/>
                <w:color w:val="000000"/>
                <w:kern w:val="0"/>
                <w:highlight w:val="none"/>
              </w:rPr>
              <w:t>种植户满意率</w:t>
            </w:r>
          </w:p>
        </w:tc>
        <w:tc>
          <w:tcPr>
            <w:tcW w:w="28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Arial"/>
                <w:color w:val="000000"/>
                <w:kern w:val="0"/>
                <w:sz w:val="20"/>
                <w:szCs w:val="20"/>
                <w:highlight w:val="none"/>
              </w:rPr>
            </w:pPr>
            <w:r>
              <w:rPr>
                <w:rFonts w:hint="eastAsia" w:ascii="宋体" w:hAnsi="宋体" w:cs="Arial"/>
                <w:color w:val="000000"/>
                <w:kern w:val="0"/>
                <w:sz w:val="20"/>
                <w:szCs w:val="20"/>
                <w:highlight w:val="none"/>
              </w:rPr>
              <w:t>100%</w:t>
            </w:r>
          </w:p>
        </w:tc>
      </w:tr>
    </w:tbl>
    <w:p>
      <w:pPr>
        <w:widowControl/>
        <w:spacing w:line="600" w:lineRule="exact"/>
        <w:ind w:firstLine="640"/>
        <w:jc w:val="left"/>
        <w:rPr>
          <w:rFonts w:ascii="仿宋_GB2312" w:eastAsia="仿宋_GB2312"/>
          <w:color w:val="000000"/>
          <w:sz w:val="32"/>
          <w:szCs w:val="30"/>
          <w:highlight w:val="none"/>
        </w:rPr>
      </w:pPr>
    </w:p>
    <w:p>
      <w:pPr>
        <w:tabs>
          <w:tab w:val="left" w:pos="1113"/>
        </w:tabs>
        <w:ind w:firstLine="482" w:firstLineChars="15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lang w:eastAsia="zh-CN"/>
        </w:rPr>
        <w:t>二、</w:t>
      </w:r>
      <w:r>
        <w:rPr>
          <w:rFonts w:hint="eastAsia" w:ascii="仿宋_GB2312" w:hAnsi="宋体" w:eastAsia="仿宋_GB2312" w:cs="仿宋_GB2312"/>
          <w:b/>
          <w:bCs/>
          <w:sz w:val="32"/>
          <w:szCs w:val="32"/>
          <w:highlight w:val="none"/>
        </w:rPr>
        <w:t>2022年“三公”经费预算情况说明</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2022年市农业技术推广中心“三公”经费年初预算安排5.59万元。其中：因公出国（境）费0万元，比上年增（减）0万元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lang w:val="en-US" w:eastAsia="zh-CN"/>
        </w:rPr>
        <w:t>主要因为：本年和上年均未安排此类支出。</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公务接待费3万元，比上年</w:t>
      </w:r>
      <w:r>
        <w:rPr>
          <w:rFonts w:hint="eastAsia" w:ascii="仿宋_GB2312" w:hAnsi="宋体" w:eastAsia="仿宋_GB2312" w:cs="仿宋_GB2312"/>
          <w:sz w:val="32"/>
          <w:szCs w:val="32"/>
          <w:highlight w:val="none"/>
          <w:lang w:eastAsia="zh-CN"/>
        </w:rPr>
        <w:t>减少</w:t>
      </w:r>
      <w:r>
        <w:rPr>
          <w:rFonts w:hint="eastAsia" w:ascii="仿宋_GB2312" w:hAnsi="宋体" w:eastAsia="仿宋_GB2312" w:cs="仿宋_GB2312"/>
          <w:sz w:val="32"/>
          <w:szCs w:val="32"/>
          <w:highlight w:val="none"/>
          <w:lang w:val="en-US" w:eastAsia="zh-CN"/>
        </w:rPr>
        <w:t>4.35</w:t>
      </w:r>
      <w:r>
        <w:rPr>
          <w:rFonts w:hint="eastAsia" w:ascii="仿宋_GB2312" w:hAnsi="宋体" w:eastAsia="仿宋_GB2312" w:cs="仿宋_GB2312"/>
          <w:sz w:val="32"/>
          <w:szCs w:val="32"/>
          <w:highlight w:val="none"/>
        </w:rPr>
        <w:t>万元，主要原因：单位合并，</w:t>
      </w:r>
      <w:r>
        <w:rPr>
          <w:rFonts w:hint="eastAsia" w:ascii="仿宋_GB2312" w:hAnsi="宋体" w:eastAsia="仿宋_GB2312" w:cs="仿宋_GB2312"/>
          <w:sz w:val="32"/>
          <w:szCs w:val="32"/>
          <w:highlight w:val="none"/>
          <w:lang w:eastAsia="zh-CN"/>
        </w:rPr>
        <w:t>压缩开支</w:t>
      </w:r>
      <w:r>
        <w:rPr>
          <w:rFonts w:hint="eastAsia" w:ascii="仿宋_GB2312" w:hAnsi="宋体" w:eastAsia="仿宋_GB2312" w:cs="仿宋_GB2312"/>
          <w:sz w:val="32"/>
          <w:szCs w:val="32"/>
          <w:highlight w:val="none"/>
        </w:rPr>
        <w:t>。</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公务用车运行维护费2.59万元，比上年增加</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主要原因：单位实有公车数量为1辆，按照预算管理规定安排定额支出。</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公务用车购置费0万元，比上年增（减）0万元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主要因为：本年和上年均未安排此类支出。</w:t>
      </w:r>
    </w:p>
    <w:p>
      <w:pPr>
        <w:ind w:firstLine="640" w:firstLineChars="200"/>
        <w:rPr>
          <w:rFonts w:ascii="仿宋_GB2312" w:hAnsi="宋体" w:eastAsia="仿宋_GB2312" w:cs="仿宋_GB2312"/>
          <w:sz w:val="32"/>
          <w:szCs w:val="32"/>
          <w:highlight w:val="none"/>
        </w:rPr>
      </w:pPr>
    </w:p>
    <w:p>
      <w:pPr>
        <w:rPr>
          <w:rFonts w:ascii="黑体" w:eastAsia="黑体" w:cs="Times New Roman"/>
          <w:sz w:val="32"/>
          <w:szCs w:val="32"/>
          <w:highlight w:val="none"/>
        </w:rPr>
      </w:pPr>
      <w:r>
        <w:rPr>
          <w:rFonts w:hint="eastAsia" w:ascii="黑体" w:hAnsi="宋体" w:eastAsia="黑体" w:cs="黑体"/>
          <w:sz w:val="32"/>
          <w:szCs w:val="32"/>
          <w:highlight w:val="none"/>
        </w:rPr>
        <w:t>第三部分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景德镇市农业技术推广中心2022年部门预算表</w:t>
      </w:r>
    </w:p>
    <w:p>
      <w:pPr>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（详见附表）</w:t>
      </w:r>
    </w:p>
    <w:p>
      <w:pPr>
        <w:rPr>
          <w:rFonts w:ascii="仿宋_GB2312" w:hAnsi="宋体" w:eastAsia="仿宋_GB2312" w:cs="仿宋_GB2312"/>
          <w:sz w:val="32"/>
          <w:szCs w:val="32"/>
          <w:highlight w:val="none"/>
          <w:shd w:val="clear" w:color="FFFFFF" w:fill="D9D9D9"/>
        </w:rPr>
      </w:pPr>
    </w:p>
    <w:p>
      <w:pPr>
        <w:rPr>
          <w:rFonts w:ascii="仿宋_GB2312" w:eastAsia="仿宋_GB2312" w:cs="Times New Roman"/>
          <w:b/>
          <w:bCs/>
          <w:sz w:val="32"/>
          <w:szCs w:val="32"/>
          <w:highlight w:val="none"/>
        </w:rPr>
      </w:pPr>
      <w:r>
        <w:rPr>
          <w:rFonts w:hint="eastAsia" w:ascii="黑体" w:hAnsi="宋体" w:eastAsia="黑体" w:cs="黑体"/>
          <w:sz w:val="32"/>
          <w:szCs w:val="32"/>
          <w:highlight w:val="none"/>
        </w:rPr>
        <w:t>第四部分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名词解释</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一、收入科目</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各部门结合实际进行解释。</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（一）财政拨款：指市级财政当年拨付的资金。</w:t>
      </w:r>
    </w:p>
    <w:p>
      <w:pPr>
        <w:widowControl/>
        <w:spacing w:line="600" w:lineRule="exact"/>
        <w:ind w:firstLine="636"/>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highlight w:val="none"/>
        </w:rPr>
      </w:pPr>
      <w:r>
        <w:rPr>
          <w:rFonts w:hint="eastAsia" w:ascii="仿宋_GB2312" w:eastAsia="仿宋_GB2312"/>
          <w:color w:val="000000"/>
          <w:sz w:val="32"/>
          <w:szCs w:val="30"/>
          <w:highlight w:val="none"/>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highlight w:val="none"/>
        </w:rPr>
      </w:pPr>
      <w:r>
        <w:rPr>
          <w:rFonts w:hint="eastAsia" w:ascii="仿宋_GB2312" w:eastAsia="仿宋_GB2312"/>
          <w:color w:val="000000"/>
          <w:sz w:val="32"/>
          <w:szCs w:val="30"/>
          <w:highlight w:val="none"/>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highlight w:val="none"/>
        </w:rPr>
      </w:pPr>
      <w:r>
        <w:rPr>
          <w:rFonts w:hint="eastAsia" w:ascii="仿宋_GB2312" w:eastAsia="仿宋_GB2312"/>
          <w:color w:val="000000"/>
          <w:sz w:val="32"/>
          <w:szCs w:val="30"/>
          <w:highlight w:val="none"/>
        </w:rPr>
        <w:t>（七）用事业基金弥补收支差额：填列事业单位用事业基金弥补2022年收支差额的数额。</w:t>
      </w:r>
    </w:p>
    <w:p>
      <w:pPr>
        <w:spacing w:line="600" w:lineRule="exact"/>
        <w:ind w:firstLine="640" w:firstLineChars="200"/>
        <w:rPr>
          <w:rFonts w:ascii="仿宋_GB2312" w:eastAsia="仿宋_GB2312"/>
          <w:color w:val="000000"/>
          <w:sz w:val="32"/>
          <w:szCs w:val="30"/>
          <w:highlight w:val="none"/>
        </w:rPr>
      </w:pPr>
      <w:r>
        <w:rPr>
          <w:rFonts w:hint="eastAsia" w:ascii="仿宋_GB2312" w:eastAsia="仿宋_GB2312"/>
          <w:color w:val="000000"/>
          <w:sz w:val="32"/>
          <w:szCs w:val="30"/>
          <w:highlight w:val="none"/>
        </w:rPr>
        <w:t>（八）上年结转和结余：填列2021年全部结转和结余的资金数，包括当年结转结余资金和历年滚存结转结余资金。</w:t>
      </w:r>
    </w:p>
    <w:p>
      <w:pPr>
        <w:widowControl/>
        <w:spacing w:line="600" w:lineRule="exact"/>
        <w:ind w:firstLine="640"/>
        <w:jc w:val="left"/>
        <w:rPr>
          <w:rFonts w:ascii="仿宋_GB2312" w:eastAsia="仿宋_GB2312" w:cs="Times New Roman"/>
          <w:sz w:val="32"/>
          <w:szCs w:val="32"/>
          <w:highlight w:val="none"/>
        </w:rPr>
      </w:pPr>
      <w:r>
        <w:rPr>
          <w:rFonts w:hint="eastAsia" w:ascii="仿宋_GB2312" w:eastAsia="仿宋_GB2312"/>
          <w:color w:val="000000"/>
          <w:sz w:val="32"/>
          <w:szCs w:val="30"/>
          <w:highlight w:val="none"/>
        </w:rPr>
        <w:t>二、支出科目</w:t>
      </w:r>
    </w:p>
    <w:p>
      <w:pPr>
        <w:autoSpaceDE w:val="0"/>
        <w:autoSpaceDN w:val="0"/>
        <w:adjustRightInd w:val="0"/>
        <w:spacing w:line="360" w:lineRule="auto"/>
        <w:ind w:firstLine="6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lang w:val="en-US" w:eastAsia="zh-CN"/>
        </w:rPr>
        <w:t>（</w:t>
      </w:r>
      <w:r>
        <w:rPr>
          <w:rFonts w:hint="eastAsia" w:ascii="Times New Roman" w:hAnsi="Times New Roman" w:eastAsia="仿宋_GB2312" w:cs="Times New Roman"/>
          <w:kern w:val="0"/>
          <w:sz w:val="32"/>
          <w:szCs w:val="32"/>
          <w:highlight w:val="none"/>
          <w:lang w:val="en-US" w:eastAsia="zh-CN"/>
        </w:rPr>
        <w:t>一</w:t>
      </w:r>
      <w:r>
        <w:rPr>
          <w:rFonts w:hint="default" w:ascii="Times New Roman" w:hAnsi="Times New Roman" w:eastAsia="仿宋_GB2312" w:cs="Times New Roman"/>
          <w:kern w:val="0"/>
          <w:sz w:val="32"/>
          <w:szCs w:val="32"/>
          <w:highlight w:val="none"/>
          <w:lang w:val="en-US" w:eastAsia="zh-CN"/>
        </w:rPr>
        <w:t>）基本支出：指为保障机构正常运转、完成日常工作任务而发生的人员支出和公用支出。</w:t>
      </w:r>
    </w:p>
    <w:p>
      <w:pPr>
        <w:autoSpaceDE w:val="0"/>
        <w:autoSpaceDN w:val="0"/>
        <w:adjustRightInd w:val="0"/>
        <w:spacing w:line="360" w:lineRule="auto"/>
        <w:ind w:firstLine="6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lang w:val="en-US" w:eastAsia="zh-CN"/>
        </w:rPr>
        <w:t>（</w:t>
      </w:r>
      <w:r>
        <w:rPr>
          <w:rFonts w:hint="eastAsia" w:ascii="Times New Roman" w:hAnsi="Times New Roman" w:eastAsia="仿宋_GB2312" w:cs="Times New Roman"/>
          <w:kern w:val="0"/>
          <w:sz w:val="32"/>
          <w:szCs w:val="32"/>
          <w:highlight w:val="none"/>
          <w:lang w:val="en-US" w:eastAsia="zh-CN"/>
        </w:rPr>
        <w:t>二</w:t>
      </w:r>
      <w:r>
        <w:rPr>
          <w:rFonts w:hint="default" w:ascii="Times New Roman" w:hAnsi="Times New Roman" w:eastAsia="仿宋_GB2312" w:cs="Times New Roman"/>
          <w:kern w:val="0"/>
          <w:sz w:val="32"/>
          <w:szCs w:val="32"/>
          <w:highlight w:val="none"/>
          <w:lang w:val="en-US" w:eastAsia="zh-CN"/>
        </w:rPr>
        <w:t>）项目支出：指在基本支出之外为完成特定行政任务和事业发展目标所发生的支出。</w:t>
      </w:r>
    </w:p>
    <w:p>
      <w:pPr>
        <w:autoSpaceDE w:val="0"/>
        <w:autoSpaceDN w:val="0"/>
        <w:adjustRightInd w:val="0"/>
        <w:spacing w:line="360" w:lineRule="auto"/>
        <w:ind w:firstLine="6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lang w:val="en-US" w:eastAsia="zh-CN"/>
        </w:rPr>
        <w:t>（</w:t>
      </w:r>
      <w:r>
        <w:rPr>
          <w:rFonts w:hint="eastAsia" w:ascii="Times New Roman" w:hAnsi="Times New Roman" w:eastAsia="仿宋_GB2312" w:cs="Times New Roman"/>
          <w:kern w:val="0"/>
          <w:sz w:val="32"/>
          <w:szCs w:val="32"/>
          <w:highlight w:val="none"/>
          <w:lang w:val="en-US" w:eastAsia="zh-CN"/>
        </w:rPr>
        <w:t>三</w:t>
      </w:r>
      <w:r>
        <w:rPr>
          <w:rFonts w:hint="default" w:ascii="Times New Roman" w:hAnsi="Times New Roman" w:eastAsia="仿宋_GB2312" w:cs="Times New Roman"/>
          <w:kern w:val="0"/>
          <w:sz w:val="32"/>
          <w:szCs w:val="32"/>
          <w:highlight w:val="none"/>
          <w:lang w:val="en-US" w:eastAsia="zh-CN"/>
        </w:rPr>
        <w:t>）事业单位经营支出：指事业单位在专业业务活动及其辅助活动之外开展非独立核算经营活动发生的支出。</w:t>
      </w:r>
    </w:p>
    <w:p>
      <w:pPr>
        <w:autoSpaceDE w:val="0"/>
        <w:autoSpaceDN w:val="0"/>
        <w:adjustRightInd w:val="0"/>
        <w:spacing w:line="360" w:lineRule="auto"/>
        <w:ind w:firstLine="6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lang w:val="en-US" w:eastAsia="zh-CN"/>
        </w:rPr>
        <w:t>（</w:t>
      </w:r>
      <w:r>
        <w:rPr>
          <w:rFonts w:hint="eastAsia" w:ascii="Times New Roman" w:hAnsi="Times New Roman" w:eastAsia="仿宋_GB2312" w:cs="Times New Roman"/>
          <w:kern w:val="0"/>
          <w:sz w:val="32"/>
          <w:szCs w:val="32"/>
          <w:highlight w:val="none"/>
          <w:lang w:val="en-US" w:eastAsia="zh-CN"/>
        </w:rPr>
        <w:t>四</w:t>
      </w:r>
      <w:r>
        <w:rPr>
          <w:rFonts w:hint="default" w:ascii="Times New Roman" w:hAnsi="Times New Roman" w:eastAsia="仿宋_GB2312" w:cs="Times New Roman"/>
          <w:kern w:val="0"/>
          <w:sz w:val="32"/>
          <w:szCs w:val="32"/>
          <w:highlight w:val="none"/>
          <w:lang w:val="en-US" w:eastAsia="zh-CN"/>
        </w:rPr>
        <w:t>）一般公共预算“三公”经费：纳入财政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autoSpaceDE w:val="0"/>
        <w:autoSpaceDN w:val="0"/>
        <w:adjustRightInd w:val="0"/>
        <w:spacing w:line="360" w:lineRule="auto"/>
        <w:ind w:firstLine="6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lang w:val="en-US" w:eastAsia="zh-CN"/>
        </w:rPr>
        <w:t>（</w:t>
      </w:r>
      <w:r>
        <w:rPr>
          <w:rFonts w:hint="eastAsia" w:ascii="Times New Roman" w:hAnsi="Times New Roman" w:eastAsia="仿宋_GB2312" w:cs="Times New Roman"/>
          <w:kern w:val="0"/>
          <w:sz w:val="32"/>
          <w:szCs w:val="32"/>
          <w:highlight w:val="none"/>
          <w:lang w:val="en-US" w:eastAsia="zh-CN"/>
        </w:rPr>
        <w:t>五</w:t>
      </w:r>
      <w:r>
        <w:rPr>
          <w:rFonts w:hint="default" w:ascii="Times New Roman" w:hAnsi="Times New Roman" w:eastAsia="仿宋_GB2312" w:cs="Times New Roman"/>
          <w:kern w:val="0"/>
          <w:sz w:val="32"/>
          <w:szCs w:val="32"/>
          <w:highlight w:val="none"/>
          <w:lang w:val="en-US" w:eastAsia="zh-CN"/>
        </w:rPr>
        <w:t>）机关运行经费：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lang w:eastAsia="zh-CN"/>
        </w:rPr>
        <w:t>（六）社会保障和就业支出（类）行政事业单位养老（款）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lang w:eastAsia="zh-CN"/>
        </w:rPr>
        <w:t>行政单位离退休</w:t>
      </w:r>
      <w:r>
        <w:rPr>
          <w:rFonts w:hint="eastAsia" w:ascii="仿宋_GB2312" w:hAnsi="宋体" w:eastAsia="仿宋_GB2312" w:cs="仿宋_GB2312"/>
          <w:sz w:val="32"/>
          <w:szCs w:val="32"/>
          <w:highlight w:val="none"/>
          <w:lang w:val="en-US" w:eastAsia="zh-CN"/>
        </w:rPr>
        <w:t>（项）</w:t>
      </w:r>
      <w:r>
        <w:rPr>
          <w:rFonts w:hint="eastAsia" w:ascii="仿宋_GB2312" w:hAnsi="宋体" w:eastAsia="仿宋_GB2312" w:cs="仿宋_GB2312"/>
          <w:sz w:val="32"/>
          <w:szCs w:val="32"/>
          <w:highlight w:val="none"/>
          <w:lang w:eastAsia="zh-CN"/>
        </w:rPr>
        <w:t>：反映行政单位（含参公）开支的离退休经费。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lang w:eastAsia="zh-CN"/>
        </w:rPr>
        <w:t>事业单位离退休</w:t>
      </w:r>
      <w:r>
        <w:rPr>
          <w:rFonts w:hint="eastAsia" w:ascii="仿宋_GB2312" w:hAnsi="宋体" w:eastAsia="仿宋_GB2312" w:cs="仿宋_GB2312"/>
          <w:sz w:val="32"/>
          <w:szCs w:val="32"/>
          <w:highlight w:val="none"/>
          <w:lang w:val="en-US" w:eastAsia="zh-CN"/>
        </w:rPr>
        <w:t>（项）</w:t>
      </w:r>
      <w:r>
        <w:rPr>
          <w:rFonts w:hint="eastAsia" w:ascii="仿宋_GB2312" w:hAnsi="宋体" w:eastAsia="仿宋_GB2312" w:cs="仿宋_GB2312"/>
          <w:sz w:val="32"/>
          <w:szCs w:val="32"/>
          <w:highlight w:val="none"/>
          <w:lang w:eastAsia="zh-CN"/>
        </w:rPr>
        <w:t>：反映事业单位开支的离退休费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lang w:eastAsia="zh-CN"/>
        </w:rPr>
        <w:t>机关事业单位基本养老保险缴费</w:t>
      </w:r>
      <w:r>
        <w:rPr>
          <w:rFonts w:hint="eastAsia" w:ascii="仿宋_GB2312" w:hAnsi="宋体" w:eastAsia="仿宋_GB2312" w:cs="仿宋_GB2312"/>
          <w:sz w:val="32"/>
          <w:szCs w:val="32"/>
          <w:highlight w:val="none"/>
          <w:lang w:val="en-US" w:eastAsia="zh-CN"/>
        </w:rPr>
        <w:t>（项）</w:t>
      </w:r>
      <w:r>
        <w:rPr>
          <w:rFonts w:hint="eastAsia" w:ascii="仿宋_GB2312" w:hAnsi="宋体" w:eastAsia="仿宋_GB2312" w:cs="仿宋_GB2312"/>
          <w:sz w:val="32"/>
          <w:szCs w:val="32"/>
          <w:highlight w:val="none"/>
          <w:lang w:eastAsia="zh-CN"/>
        </w:rPr>
        <w:t>：反映机关事业单位实施养老保险制度由单位缴纳的基本养老保险费支出。</w:t>
      </w:r>
    </w:p>
    <w:p>
      <w:pPr>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lang w:eastAsia="zh-CN"/>
        </w:rPr>
        <w:t>（七）卫生健康支出（类）卫生健康管理事务（款）</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 xml:space="preserve">     其他卫生健康管理事务（项）：反映其他用于卫生健康管理事务各方面的支出。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highlight w:val="none"/>
          <w:lang w:eastAsia="zh-CN"/>
        </w:rPr>
      </w:pPr>
      <w:r>
        <w:rPr>
          <w:rFonts w:hint="eastAsia" w:ascii="仿宋_GB2312" w:hAnsi="宋体" w:eastAsia="仿宋_GB2312" w:cs="仿宋_GB2312"/>
          <w:sz w:val="32"/>
          <w:szCs w:val="32"/>
          <w:highlight w:val="none"/>
          <w:lang w:val="en-US" w:eastAsia="zh-CN"/>
        </w:rPr>
        <w:t>（八）</w:t>
      </w:r>
      <w:r>
        <w:rPr>
          <w:rFonts w:hint="eastAsia" w:ascii="仿宋_GB2312" w:hAnsi="宋体" w:eastAsia="仿宋_GB2312" w:cs="仿宋_GB2312"/>
          <w:sz w:val="32"/>
          <w:szCs w:val="32"/>
          <w:highlight w:val="none"/>
          <w:lang w:eastAsia="zh-CN"/>
        </w:rPr>
        <w:t>卫生健康支出（类）行政事业单位医疗（款）</w:t>
      </w:r>
    </w:p>
    <w:p>
      <w:pPr>
        <w:pageBreakBefore w:val="0"/>
        <w:widowControl w:val="0"/>
        <w:numPr>
          <w:ilvl w:val="0"/>
          <w:numId w:val="0"/>
        </w:numPr>
        <w:kinsoku/>
        <w:wordWrap/>
        <w:overflowPunct/>
        <w:topLinePunct w:val="0"/>
        <w:autoSpaceDE/>
        <w:autoSpaceDN/>
        <w:bidi w:val="0"/>
        <w:adjustRightInd/>
        <w:spacing w:line="560" w:lineRule="exact"/>
        <w:ind w:firstLine="960" w:firstLineChars="300"/>
        <w:jc w:val="both"/>
        <w:textAlignment w:val="auto"/>
        <w:rPr>
          <w:rFonts w:hint="default" w:ascii="仿宋_GB2312" w:hAnsi="宋体" w:eastAsia="仿宋_GB2312" w:cs="仿宋_GB2312"/>
          <w:sz w:val="32"/>
          <w:szCs w:val="32"/>
          <w:highlight w:val="none"/>
          <w:lang w:val="en-US" w:eastAsia="zh-CN"/>
        </w:rPr>
      </w:pPr>
      <w:r>
        <w:rPr>
          <w:rFonts w:hint="default" w:ascii="仿宋_GB2312" w:hAnsi="宋体" w:eastAsia="仿宋_GB2312" w:cs="仿宋_GB2312"/>
          <w:sz w:val="32"/>
          <w:szCs w:val="32"/>
          <w:highlight w:val="none"/>
          <w:lang w:val="en-US" w:eastAsia="zh-CN"/>
        </w:rPr>
        <w:t>行政单位医疗</w:t>
      </w:r>
      <w:r>
        <w:rPr>
          <w:rFonts w:hint="eastAsia" w:ascii="仿宋_GB2312" w:hAnsi="宋体" w:eastAsia="仿宋_GB2312" w:cs="仿宋_GB2312"/>
          <w:sz w:val="32"/>
          <w:szCs w:val="32"/>
          <w:highlight w:val="none"/>
          <w:lang w:val="en-US" w:eastAsia="zh-CN"/>
        </w:rPr>
        <w:t>（项）：反映财政部门安排的行政单位（含参公）基本医疗保险缴费经费，未参加医疗保险的行政单位的公费医疗经费，按国家规定享受离休人员、红军战士待遇人员的医疗经费。</w:t>
      </w:r>
    </w:p>
    <w:p>
      <w:pPr>
        <w:pageBreakBefore w:val="0"/>
        <w:widowControl w:val="0"/>
        <w:numPr>
          <w:ilvl w:val="0"/>
          <w:numId w:val="0"/>
        </w:numPr>
        <w:kinsoku/>
        <w:wordWrap/>
        <w:overflowPunct/>
        <w:topLinePunct w:val="0"/>
        <w:autoSpaceDE/>
        <w:autoSpaceDN/>
        <w:bidi w:val="0"/>
        <w:adjustRightInd/>
        <w:spacing w:line="560" w:lineRule="exact"/>
        <w:ind w:firstLine="960" w:firstLineChars="300"/>
        <w:jc w:val="both"/>
        <w:textAlignment w:val="auto"/>
        <w:rPr>
          <w:rFonts w:hint="default" w:ascii="仿宋_GB2312" w:hAnsi="宋体" w:eastAsia="仿宋_GB2312" w:cs="仿宋_GB2312"/>
          <w:sz w:val="32"/>
          <w:szCs w:val="32"/>
          <w:highlight w:val="none"/>
          <w:lang w:val="en-US" w:eastAsia="zh-CN"/>
        </w:rPr>
      </w:pPr>
      <w:r>
        <w:rPr>
          <w:rFonts w:hint="default" w:ascii="仿宋_GB2312" w:hAnsi="宋体" w:eastAsia="仿宋_GB2312" w:cs="仿宋_GB2312"/>
          <w:sz w:val="32"/>
          <w:szCs w:val="32"/>
          <w:highlight w:val="none"/>
          <w:lang w:val="en-US" w:eastAsia="zh-CN"/>
        </w:rPr>
        <w:t>事业单位医疗</w:t>
      </w:r>
      <w:r>
        <w:rPr>
          <w:rFonts w:hint="eastAsia" w:ascii="仿宋_GB2312" w:hAnsi="宋体" w:eastAsia="仿宋_GB2312" w:cs="仿宋_GB2312"/>
          <w:sz w:val="32"/>
          <w:szCs w:val="32"/>
          <w:highlight w:val="none"/>
          <w:lang w:val="en-US" w:eastAsia="zh-CN"/>
        </w:rPr>
        <w:t>（项）：反映财政部门安排的事业单位基本医疗保险缴费经费，未参加医疗保险的事业单位的公费医疗经费，按照国家规定享受离休人员待遇的医疗经费。</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default" w:ascii="仿宋_GB2312" w:hAnsi="宋体" w:eastAsia="仿宋_GB2312" w:cs="仿宋_GB2312"/>
          <w:sz w:val="32"/>
          <w:szCs w:val="32"/>
          <w:highlight w:val="none"/>
          <w:lang w:val="en-US" w:eastAsia="zh-CN"/>
        </w:rPr>
      </w:pPr>
      <w:r>
        <w:rPr>
          <w:rFonts w:hint="default" w:ascii="仿宋_GB2312" w:hAnsi="宋体" w:eastAsia="仿宋_GB2312" w:cs="仿宋_GB2312"/>
          <w:sz w:val="32"/>
          <w:szCs w:val="32"/>
          <w:highlight w:val="none"/>
          <w:lang w:val="en-US" w:eastAsia="zh-CN"/>
        </w:rPr>
        <w:t>公务员医疗补助</w:t>
      </w:r>
      <w:r>
        <w:rPr>
          <w:rFonts w:hint="eastAsia" w:ascii="仿宋_GB2312" w:hAnsi="宋体" w:eastAsia="仿宋_GB2312" w:cs="仿宋_GB2312"/>
          <w:sz w:val="32"/>
          <w:szCs w:val="32"/>
          <w:highlight w:val="none"/>
          <w:lang w:val="en-US" w:eastAsia="zh-CN"/>
        </w:rPr>
        <w:t>（项）：反映财政部门安排的公务员医疗补助经费。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highlight w:val="none"/>
          <w:lang w:val="en-US" w:eastAsia="zh-CN"/>
        </w:rPr>
      </w:pPr>
      <w:r>
        <w:rPr>
          <w:rFonts w:hint="default" w:ascii="仿宋_GB2312" w:hAnsi="宋体" w:eastAsia="仿宋_GB2312" w:cs="仿宋_GB2312"/>
          <w:sz w:val="32"/>
          <w:szCs w:val="32"/>
          <w:highlight w:val="none"/>
          <w:lang w:val="en-US" w:eastAsia="zh-CN"/>
        </w:rPr>
        <w:t>其他行政事业单位医疗</w:t>
      </w:r>
      <w:r>
        <w:rPr>
          <w:rFonts w:hint="eastAsia" w:ascii="仿宋_GB2312" w:hAnsi="宋体" w:eastAsia="仿宋_GB2312" w:cs="仿宋_GB2312"/>
          <w:sz w:val="32"/>
          <w:szCs w:val="32"/>
          <w:highlight w:val="none"/>
          <w:lang w:val="en-US" w:eastAsia="zh-CN"/>
        </w:rPr>
        <w:t>（项）：反映除上述项目以外的其他用于行政事业单位医疗方面的支出。</w:t>
      </w:r>
    </w:p>
    <w:p>
      <w:pPr>
        <w:pageBreakBefore w:val="0"/>
        <w:widowControl w:val="0"/>
        <w:numPr>
          <w:ilvl w:val="0"/>
          <w:numId w:val="0"/>
        </w:numPr>
        <w:kinsoku/>
        <w:wordWrap/>
        <w:overflowPunct/>
        <w:topLinePunct w:val="0"/>
        <w:autoSpaceDE/>
        <w:autoSpaceDN/>
        <w:bidi w:val="0"/>
        <w:adjustRightInd/>
        <w:spacing w:line="560" w:lineRule="exact"/>
        <w:ind w:leftChars="200"/>
        <w:jc w:val="both"/>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（九）农林水支出（类）农业农村（款）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highlight w:val="none"/>
          <w:lang w:val="en-US" w:eastAsia="zh-CN"/>
        </w:rPr>
      </w:pPr>
      <w:r>
        <w:rPr>
          <w:rFonts w:hint="default" w:ascii="仿宋_GB2312" w:hAnsi="宋体" w:eastAsia="仿宋_GB2312" w:cs="仿宋_GB2312"/>
          <w:sz w:val="32"/>
          <w:szCs w:val="32"/>
          <w:highlight w:val="none"/>
          <w:lang w:val="en-US" w:eastAsia="zh-CN"/>
        </w:rPr>
        <w:t>事业运行</w:t>
      </w:r>
      <w:r>
        <w:rPr>
          <w:rFonts w:hint="eastAsia" w:ascii="仿宋_GB2312" w:hAnsi="宋体" w:eastAsia="仿宋_GB2312" w:cs="仿宋_GB2312"/>
          <w:sz w:val="32"/>
          <w:szCs w:val="32"/>
          <w:highlight w:val="none"/>
          <w:lang w:val="en-US" w:eastAsia="zh-CN"/>
        </w:rPr>
        <w:t>（项）：反映用于农业事业单位基本支出，事业单位设施、系统运行与资产维护等方面的支出。</w:t>
      </w:r>
    </w:p>
    <w:p>
      <w:pPr>
        <w:pageBreakBefore w:val="0"/>
        <w:widowControl w:val="0"/>
        <w:numPr>
          <w:ilvl w:val="0"/>
          <w:numId w:val="0"/>
        </w:numPr>
        <w:kinsoku/>
        <w:wordWrap/>
        <w:overflowPunct/>
        <w:topLinePunct w:val="0"/>
        <w:autoSpaceDE/>
        <w:autoSpaceDN/>
        <w:bidi w:val="0"/>
        <w:adjustRightInd/>
        <w:spacing w:line="560" w:lineRule="exact"/>
        <w:ind w:leftChars="200"/>
        <w:jc w:val="both"/>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（十）住房保障支出（类）住房改革支出（款）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highlight w:val="none"/>
          <w:lang w:val="en-US" w:eastAsia="zh-CN"/>
        </w:rPr>
      </w:pPr>
      <w:r>
        <w:rPr>
          <w:rFonts w:hint="default" w:ascii="仿宋_GB2312" w:hAnsi="宋体" w:eastAsia="仿宋_GB2312" w:cs="仿宋_GB2312"/>
          <w:sz w:val="32"/>
          <w:szCs w:val="32"/>
          <w:highlight w:val="none"/>
          <w:lang w:val="en-US" w:eastAsia="zh-CN"/>
        </w:rPr>
        <w:t>住房公积金</w:t>
      </w:r>
      <w:r>
        <w:rPr>
          <w:rFonts w:hint="eastAsia" w:ascii="仿宋_GB2312" w:hAnsi="宋体" w:eastAsia="仿宋_GB2312" w:cs="仿宋_GB2312"/>
          <w:sz w:val="32"/>
          <w:szCs w:val="32"/>
          <w:highlight w:val="none"/>
          <w:lang w:val="en-US" w:eastAsia="zh-CN"/>
        </w:rPr>
        <w:t>（项）：反映行政事业单位按人力资源和社会保障部、财政部规定的基本工资和津补贴以及规定比例为职工缴纳的住房公积金。</w:t>
      </w:r>
    </w:p>
    <w:p>
      <w:pPr>
        <w:rPr>
          <w:rFonts w:ascii="仿宋_GB2312" w:eastAsia="仿宋_GB2312" w:cs="Times New Roman"/>
          <w:sz w:val="32"/>
          <w:szCs w:val="32"/>
          <w:highlight w:val="none"/>
        </w:rPr>
      </w:pPr>
    </w:p>
    <w:p>
      <w:pPr>
        <w:rPr>
          <w:rFonts w:ascii="仿宋_GB2312" w:eastAsia="仿宋_GB2312" w:cs="Times New Roman"/>
          <w:sz w:val="32"/>
          <w:szCs w:val="32"/>
          <w:highlight w:val="none"/>
        </w:rPr>
      </w:pPr>
    </w:p>
    <w:p>
      <w:pPr>
        <w:rPr>
          <w:rFonts w:ascii="仿宋_GB2312" w:eastAsia="仿宋_GB2312" w:cs="Times New Roman"/>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roman"/>
    <w:pitch w:val="default"/>
    <w:sig w:usb0="00000000" w:usb1="00000000" w:usb2="00000016" w:usb3="00000000" w:csb0="00060007"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D7481"/>
    <w:multiLevelType w:val="singleLevel"/>
    <w:tmpl w:val="B7FD7481"/>
    <w:lvl w:ilvl="0" w:tentative="0">
      <w:start w:val="4"/>
      <w:numFmt w:val="decimal"/>
      <w:suff w:val="nothing"/>
      <w:lvlText w:val="%1）"/>
      <w:lvlJc w:val="left"/>
      <w:pPr>
        <w:ind w:left="640" w:leftChars="0" w:firstLine="0" w:firstLineChars="0"/>
      </w:pPr>
    </w:lvl>
  </w:abstractNum>
  <w:abstractNum w:abstractNumId="1">
    <w:nsid w:val="0053208E"/>
    <w:multiLevelType w:val="singleLevel"/>
    <w:tmpl w:val="0053208E"/>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mNDBiOGVkYzcwNWY4Mjc4OTQ1OTIwMjRkNDVlMjcifQ=="/>
  </w:docVars>
  <w:rsids>
    <w:rsidRoot w:val="19076E1D"/>
    <w:rsid w:val="000429DB"/>
    <w:rsid w:val="00066060"/>
    <w:rsid w:val="000B5A33"/>
    <w:rsid w:val="001335BC"/>
    <w:rsid w:val="001472F4"/>
    <w:rsid w:val="001D45F8"/>
    <w:rsid w:val="002B0441"/>
    <w:rsid w:val="002D2161"/>
    <w:rsid w:val="002E55B7"/>
    <w:rsid w:val="00327AB9"/>
    <w:rsid w:val="003D245C"/>
    <w:rsid w:val="00435D78"/>
    <w:rsid w:val="00443114"/>
    <w:rsid w:val="004B04D4"/>
    <w:rsid w:val="004D5D8C"/>
    <w:rsid w:val="00500EA6"/>
    <w:rsid w:val="00550A0B"/>
    <w:rsid w:val="005C32E9"/>
    <w:rsid w:val="005F1F83"/>
    <w:rsid w:val="005F749C"/>
    <w:rsid w:val="005F750B"/>
    <w:rsid w:val="00602460"/>
    <w:rsid w:val="00630B57"/>
    <w:rsid w:val="00655063"/>
    <w:rsid w:val="006748F5"/>
    <w:rsid w:val="00675E17"/>
    <w:rsid w:val="00683AC4"/>
    <w:rsid w:val="006E6D12"/>
    <w:rsid w:val="00704AC6"/>
    <w:rsid w:val="007223FC"/>
    <w:rsid w:val="007345D9"/>
    <w:rsid w:val="007B68D0"/>
    <w:rsid w:val="008110CC"/>
    <w:rsid w:val="00815BA6"/>
    <w:rsid w:val="008503C9"/>
    <w:rsid w:val="00851FCE"/>
    <w:rsid w:val="008A4D54"/>
    <w:rsid w:val="008B55F3"/>
    <w:rsid w:val="009070E5"/>
    <w:rsid w:val="009668F9"/>
    <w:rsid w:val="00977BE4"/>
    <w:rsid w:val="00A41875"/>
    <w:rsid w:val="00A62E6C"/>
    <w:rsid w:val="00A70961"/>
    <w:rsid w:val="00A873E7"/>
    <w:rsid w:val="00AA2FBE"/>
    <w:rsid w:val="00AE040C"/>
    <w:rsid w:val="00B35725"/>
    <w:rsid w:val="00B358C5"/>
    <w:rsid w:val="00B510F5"/>
    <w:rsid w:val="00B55AC4"/>
    <w:rsid w:val="00B777CF"/>
    <w:rsid w:val="00BB562E"/>
    <w:rsid w:val="00BD4AB1"/>
    <w:rsid w:val="00BE4B09"/>
    <w:rsid w:val="00C04C9A"/>
    <w:rsid w:val="00C4154C"/>
    <w:rsid w:val="00CB311D"/>
    <w:rsid w:val="00CB427A"/>
    <w:rsid w:val="00CF778D"/>
    <w:rsid w:val="00D0298D"/>
    <w:rsid w:val="00D86651"/>
    <w:rsid w:val="00DB41D3"/>
    <w:rsid w:val="00DD1106"/>
    <w:rsid w:val="00E71A4D"/>
    <w:rsid w:val="00E73E87"/>
    <w:rsid w:val="00E87BB3"/>
    <w:rsid w:val="00EE7CD0"/>
    <w:rsid w:val="00F110CF"/>
    <w:rsid w:val="00F17659"/>
    <w:rsid w:val="00F20FF1"/>
    <w:rsid w:val="00F500B9"/>
    <w:rsid w:val="01992CBB"/>
    <w:rsid w:val="022502CD"/>
    <w:rsid w:val="05EB1609"/>
    <w:rsid w:val="07E14BBF"/>
    <w:rsid w:val="08EE0B31"/>
    <w:rsid w:val="0A326819"/>
    <w:rsid w:val="0C574F06"/>
    <w:rsid w:val="0CBF216E"/>
    <w:rsid w:val="0FCB58D0"/>
    <w:rsid w:val="11427CB1"/>
    <w:rsid w:val="139E3D52"/>
    <w:rsid w:val="15C9656A"/>
    <w:rsid w:val="162B4B72"/>
    <w:rsid w:val="17E232E7"/>
    <w:rsid w:val="17FFF740"/>
    <w:rsid w:val="18AC060B"/>
    <w:rsid w:val="19076E1D"/>
    <w:rsid w:val="1BFA5810"/>
    <w:rsid w:val="1D0372D0"/>
    <w:rsid w:val="1EBD751D"/>
    <w:rsid w:val="1F117155"/>
    <w:rsid w:val="204B45CE"/>
    <w:rsid w:val="25705B71"/>
    <w:rsid w:val="2DBB222D"/>
    <w:rsid w:val="31D40AAE"/>
    <w:rsid w:val="33B23005"/>
    <w:rsid w:val="37FB2C0E"/>
    <w:rsid w:val="381119B2"/>
    <w:rsid w:val="3BD871B8"/>
    <w:rsid w:val="3CF55A87"/>
    <w:rsid w:val="3F7FAD5A"/>
    <w:rsid w:val="429A727D"/>
    <w:rsid w:val="4322216B"/>
    <w:rsid w:val="43753A00"/>
    <w:rsid w:val="440F51E1"/>
    <w:rsid w:val="462C2DD9"/>
    <w:rsid w:val="46F45126"/>
    <w:rsid w:val="4B3D274E"/>
    <w:rsid w:val="4C0B38BC"/>
    <w:rsid w:val="4C0B7195"/>
    <w:rsid w:val="4D3B293C"/>
    <w:rsid w:val="51B40312"/>
    <w:rsid w:val="56552A05"/>
    <w:rsid w:val="56EB795B"/>
    <w:rsid w:val="57CC144D"/>
    <w:rsid w:val="5BBCE775"/>
    <w:rsid w:val="628A60DB"/>
    <w:rsid w:val="62B20F12"/>
    <w:rsid w:val="63973295"/>
    <w:rsid w:val="641E7445"/>
    <w:rsid w:val="6A7FBD11"/>
    <w:rsid w:val="6BD89EDF"/>
    <w:rsid w:val="6E2FFBE0"/>
    <w:rsid w:val="6FF77830"/>
    <w:rsid w:val="71452C49"/>
    <w:rsid w:val="73224148"/>
    <w:rsid w:val="76BE254D"/>
    <w:rsid w:val="772860B1"/>
    <w:rsid w:val="779F600F"/>
    <w:rsid w:val="7AAB03A7"/>
    <w:rsid w:val="7B4102B0"/>
    <w:rsid w:val="7BDEBCE5"/>
    <w:rsid w:val="7E4F8216"/>
    <w:rsid w:val="7F0C59E2"/>
    <w:rsid w:val="8EF25B30"/>
    <w:rsid w:val="8F1FB9FA"/>
    <w:rsid w:val="BDFB84CE"/>
    <w:rsid w:val="C145500C"/>
    <w:rsid w:val="C3CB651E"/>
    <w:rsid w:val="CD593B24"/>
    <w:rsid w:val="CFD5C65A"/>
    <w:rsid w:val="F3FFAF20"/>
    <w:rsid w:val="FD37D0DD"/>
    <w:rsid w:val="FDBC9BD0"/>
    <w:rsid w:val="FDBF7C35"/>
    <w:rsid w:val="FEFDDA4A"/>
    <w:rsid w:val="FF9FB1C1"/>
    <w:rsid w:val="FFE7D30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row_tree_level_4"/>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17</Pages>
  <Words>6064</Words>
  <Characters>6528</Characters>
  <Lines>43</Lines>
  <Paragraphs>12</Paragraphs>
  <TotalTime>3</TotalTime>
  <ScaleCrop>false</ScaleCrop>
  <LinksUpToDate>false</LinksUpToDate>
  <CharactersWithSpaces>7027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2022-03-03T10:27:00Z</dcterms:created>
  <dc:creator>Administrator</dc:creator>
  <cp:lastModifiedBy>华佗</cp:lastModifiedBy>
  <cp:lastPrinted>2021-05-28T02:23:00Z</cp:lastPrinted>
  <dcterms:modified xsi:type="dcterms:W3CDTF">2023-07-04T09:21:09Z</dcterms:modified>
  <dc:title>附件2：2018年市级部门预算说明和预算公开表</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F99EFE043DED4543A6E87F4D34B915DB_13</vt:lpwstr>
  </property>
</Properties>
</file>