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240" w:lineRule="auto"/>
        <w:jc w:val="center"/>
        <w:rPr>
          <w:rFonts w:hint="eastAsia" w:ascii="黑体" w:hAnsi="黑体" w:eastAsia="黑体" w:cs="黑体"/>
          <w:highlight w:val="none"/>
          <w:lang w:val="en-US" w:eastAsia="zh-CN"/>
        </w:rPr>
      </w:pPr>
      <w:r>
        <w:rPr>
          <w:rFonts w:hint="eastAsia" w:ascii="黑体" w:hAnsi="黑体" w:eastAsia="黑体" w:cs="黑体"/>
          <w:highlight w:val="none"/>
        </w:rPr>
        <w:t>景德镇市</w:t>
      </w:r>
      <w:r>
        <w:rPr>
          <w:rFonts w:hint="eastAsia" w:ascii="黑体" w:hAnsi="黑体" w:eastAsia="黑体" w:cs="黑体"/>
          <w:highlight w:val="none"/>
          <w:lang w:eastAsia="zh-CN"/>
        </w:rPr>
        <w:t>农业科学研究所2022</w:t>
      </w:r>
      <w:r>
        <w:rPr>
          <w:rFonts w:hint="eastAsia" w:ascii="黑体" w:hAnsi="黑体" w:eastAsia="黑体" w:cs="黑体"/>
          <w:highlight w:val="none"/>
        </w:rPr>
        <w:t>年</w:t>
      </w:r>
      <w:r>
        <w:rPr>
          <w:rFonts w:hint="eastAsia" w:ascii="黑体" w:hAnsi="黑体" w:eastAsia="黑体" w:cs="黑体"/>
          <w:highlight w:val="none"/>
          <w:lang w:eastAsia="zh-CN"/>
        </w:rPr>
        <w:t>单位</w:t>
      </w:r>
      <w:r>
        <w:rPr>
          <w:rFonts w:hint="eastAsia" w:ascii="黑体" w:hAnsi="黑体" w:eastAsia="黑体" w:cs="黑体"/>
          <w:highlight w:val="none"/>
        </w:rPr>
        <w:t>预算</w:t>
      </w:r>
      <w:r>
        <w:rPr>
          <w:rFonts w:hint="eastAsia" w:ascii="黑体" w:hAnsi="黑体" w:eastAsia="黑体" w:cs="黑体"/>
          <w:highlight w:val="none"/>
          <w:lang w:val="en-US" w:eastAsia="zh-CN"/>
        </w:rPr>
        <w:t>公开</w:t>
      </w:r>
    </w:p>
    <w:p>
      <w:pPr>
        <w:spacing w:before="240"/>
        <w:jc w:val="center"/>
        <w:rPr>
          <w:rFonts w:hint="eastAsia" w:ascii="仿宋_GB2312" w:hAnsi="仿宋" w:eastAsia="仿宋_GB2312" w:cs="仿宋_GB2312"/>
          <w:b/>
          <w:bCs/>
          <w:sz w:val="32"/>
          <w:szCs w:val="32"/>
          <w:highlight w:val="none"/>
        </w:rPr>
      </w:pPr>
      <w:r>
        <w:rPr>
          <w:rFonts w:hint="eastAsia" w:ascii="仿宋_GB2312" w:hAnsi="仿宋" w:eastAsia="仿宋_GB2312" w:cs="仿宋_GB2312"/>
          <w:b/>
          <w:bCs/>
          <w:sz w:val="32"/>
          <w:szCs w:val="32"/>
          <w:highlight w:val="none"/>
        </w:rPr>
        <w:t>目</w:t>
      </w:r>
      <w:r>
        <w:rPr>
          <w:rFonts w:ascii="仿宋_GB2312" w:hAnsi="仿宋" w:eastAsia="仿宋_GB2312" w:cs="仿宋_GB2312"/>
          <w:b/>
          <w:bCs/>
          <w:sz w:val="32"/>
          <w:szCs w:val="32"/>
          <w:highlight w:val="none"/>
        </w:rPr>
        <w:t xml:space="preserve">   </w:t>
      </w:r>
      <w:r>
        <w:rPr>
          <w:rFonts w:hint="eastAsia" w:ascii="仿宋_GB2312" w:hAnsi="仿宋" w:eastAsia="仿宋_GB2312" w:cs="仿宋_GB2312"/>
          <w:b/>
          <w:bCs/>
          <w:sz w:val="32"/>
          <w:szCs w:val="32"/>
          <w:highlight w:val="none"/>
        </w:rPr>
        <w:t>录</w:t>
      </w:r>
    </w:p>
    <w:p>
      <w:pPr>
        <w:ind w:firstLine="640" w:firstLineChars="200"/>
        <w:rPr>
          <w:rFonts w:ascii="黑体" w:eastAsia="黑体" w:cs="Times New Roman"/>
          <w:sz w:val="32"/>
          <w:szCs w:val="32"/>
          <w:highlight w:val="none"/>
        </w:rPr>
      </w:pPr>
      <w:r>
        <w:rPr>
          <w:rFonts w:hint="eastAsia" w:ascii="黑体" w:hAnsi="宋体" w:eastAsia="黑体" w:cs="黑体"/>
          <w:sz w:val="32"/>
          <w:szCs w:val="32"/>
          <w:highlight w:val="none"/>
        </w:rPr>
        <w:t>第一部分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景德镇市</w:t>
      </w:r>
      <w:r>
        <w:rPr>
          <w:rFonts w:hint="eastAsia" w:ascii="黑体" w:hAnsi="宋体" w:eastAsia="黑体" w:cs="黑体"/>
          <w:sz w:val="32"/>
          <w:szCs w:val="32"/>
          <w:highlight w:val="none"/>
          <w:lang w:eastAsia="zh-CN"/>
        </w:rPr>
        <w:t>农业科学研究所</w:t>
      </w:r>
      <w:r>
        <w:rPr>
          <w:rFonts w:hint="eastAsia" w:ascii="黑体" w:hAnsi="宋体" w:eastAsia="黑体" w:cs="黑体"/>
          <w:sz w:val="32"/>
          <w:szCs w:val="32"/>
          <w:highlight w:val="none"/>
        </w:rPr>
        <w:t>概况</w:t>
      </w:r>
    </w:p>
    <w:p>
      <w:pPr>
        <w:pStyle w:val="12"/>
        <w:spacing w:line="560" w:lineRule="exact"/>
        <w:ind w:firstLine="1120" w:firstLineChars="350"/>
        <w:jc w:val="left"/>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highlight w:val="none"/>
          <w:shd w:val="clear" w:fill="FFFFFF"/>
        </w:rPr>
        <w:t>  </w:t>
      </w: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eastAsia" w:ascii="Adobe 仿宋 Std R" w:hAnsi="Adobe 仿宋 Std R" w:eastAsia="Adobe 仿宋 Std R"/>
          <w:kern w:val="2"/>
          <w:sz w:val="32"/>
          <w:szCs w:val="30"/>
        </w:rPr>
        <w:t xml:space="preserve"> </w:t>
      </w:r>
      <w:r>
        <w:rPr>
          <w:rFonts w:ascii="Adobe 仿宋 Std R" w:hAnsi="Adobe 仿宋 Std R" w:eastAsia="Adobe 仿宋 Std R"/>
          <w:kern w:val="2"/>
          <w:sz w:val="32"/>
          <w:szCs w:val="30"/>
        </w:rPr>
        <w:t>一、</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主要职责</w:t>
      </w:r>
    </w:p>
    <w:p>
      <w:pPr>
        <w:pStyle w:val="12"/>
        <w:spacing w:line="560" w:lineRule="exact"/>
        <w:ind w:firstLine="1280" w:firstLineChars="4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二、</w:t>
      </w:r>
      <w:r>
        <w:rPr>
          <w:rFonts w:hint="eastAsia" w:ascii="Adobe 仿宋 Std R" w:hAnsi="Adobe 仿宋 Std R" w:eastAsia="Adobe 仿宋 Std R"/>
          <w:kern w:val="2"/>
          <w:sz w:val="32"/>
          <w:szCs w:val="30"/>
        </w:rPr>
        <w:t>机构设置及人员情况</w:t>
      </w:r>
    </w:p>
    <w:p>
      <w:pPr>
        <w:ind w:firstLine="640" w:firstLineChars="200"/>
        <w:rPr>
          <w:rFonts w:ascii="黑体" w:hAnsi="宋体" w:eastAsia="黑体" w:cs="Times New Roman"/>
          <w:sz w:val="32"/>
          <w:szCs w:val="32"/>
          <w:highlight w:val="none"/>
        </w:rPr>
      </w:pPr>
      <w:r>
        <w:rPr>
          <w:rFonts w:hint="eastAsia" w:ascii="黑体" w:hAnsi="宋体" w:eastAsia="黑体" w:cs="黑体"/>
          <w:sz w:val="32"/>
          <w:szCs w:val="32"/>
          <w:highlight w:val="none"/>
        </w:rPr>
        <w:t>第二部分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景德镇市</w:t>
      </w:r>
      <w:r>
        <w:rPr>
          <w:rFonts w:hint="eastAsia" w:ascii="黑体" w:hAnsi="宋体" w:eastAsia="黑体" w:cs="黑体"/>
          <w:sz w:val="32"/>
          <w:szCs w:val="32"/>
          <w:highlight w:val="none"/>
          <w:lang w:eastAsia="zh-CN"/>
        </w:rPr>
        <w:t>农业科学研究所2022</w:t>
      </w:r>
      <w:r>
        <w:rPr>
          <w:rFonts w:hint="eastAsia" w:ascii="黑体" w:hAnsi="宋体" w:eastAsia="黑体" w:cs="黑体"/>
          <w:sz w:val="32"/>
          <w:szCs w:val="32"/>
          <w:highlight w:val="none"/>
        </w:rPr>
        <w:t>年</w:t>
      </w:r>
      <w:r>
        <w:rPr>
          <w:rFonts w:hint="eastAsia" w:ascii="黑体" w:hAnsi="宋体" w:eastAsia="黑体" w:cs="黑体"/>
          <w:sz w:val="32"/>
          <w:szCs w:val="32"/>
          <w:highlight w:val="none"/>
          <w:lang w:eastAsia="zh-CN"/>
        </w:rPr>
        <w:t>单位</w:t>
      </w:r>
      <w:r>
        <w:rPr>
          <w:rFonts w:hint="eastAsia" w:ascii="黑体" w:hAnsi="宋体" w:eastAsia="黑体" w:cs="黑体"/>
          <w:sz w:val="32"/>
          <w:szCs w:val="32"/>
          <w:highlight w:val="none"/>
        </w:rPr>
        <w:t>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333333"/>
          <w:spacing w:val="0"/>
          <w:sz w:val="32"/>
          <w:szCs w:val="32"/>
          <w:highlight w:val="none"/>
          <w:shd w:val="clear" w:fill="FFFFFF"/>
        </w:rPr>
        <w:t> </w:t>
      </w:r>
      <w:r>
        <w:rPr>
          <w:rFonts w:hint="eastAsia" w:ascii="仿宋" w:hAnsi="仿宋" w:eastAsia="仿宋" w:cs="仿宋"/>
          <w:i w:val="0"/>
          <w:iCs w:val="0"/>
          <w:caps w:val="0"/>
          <w:color w:val="333333"/>
          <w:spacing w:val="0"/>
          <w:sz w:val="32"/>
          <w:szCs w:val="32"/>
          <w:highlight w:val="none"/>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2022</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单位</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ascii="仿宋_GB2312" w:eastAsia="仿宋_GB2312" w:cs="Times New Roman"/>
          <w:sz w:val="32"/>
          <w:szCs w:val="32"/>
          <w:highlight w:val="none"/>
        </w:rPr>
      </w:pP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2022</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说明</w:t>
      </w:r>
    </w:p>
    <w:p>
      <w:pPr>
        <w:ind w:firstLine="640" w:firstLineChars="200"/>
        <w:rPr>
          <w:rFonts w:ascii="黑体" w:hAnsi="宋体" w:eastAsia="黑体" w:cs="Times New Roman"/>
          <w:sz w:val="32"/>
          <w:szCs w:val="32"/>
          <w:highlight w:val="none"/>
        </w:rPr>
      </w:pPr>
      <w:r>
        <w:rPr>
          <w:rFonts w:hint="eastAsia" w:ascii="黑体" w:hAnsi="宋体" w:eastAsia="黑体" w:cs="黑体"/>
          <w:sz w:val="32"/>
          <w:szCs w:val="32"/>
          <w:highlight w:val="none"/>
        </w:rPr>
        <w:t>第三部分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lang w:eastAsia="zh-CN"/>
        </w:rPr>
        <w:t>景德镇市农业科学研究所2022</w:t>
      </w:r>
      <w:r>
        <w:rPr>
          <w:rFonts w:hint="eastAsia" w:ascii="黑体" w:hAnsi="宋体" w:eastAsia="黑体" w:cs="黑体"/>
          <w:sz w:val="32"/>
          <w:szCs w:val="32"/>
          <w:highlight w:val="none"/>
        </w:rPr>
        <w:t>年</w:t>
      </w:r>
      <w:r>
        <w:rPr>
          <w:rFonts w:hint="eastAsia" w:ascii="黑体" w:hAnsi="宋体" w:eastAsia="黑体" w:cs="黑体"/>
          <w:sz w:val="32"/>
          <w:szCs w:val="32"/>
          <w:highlight w:val="none"/>
          <w:lang w:eastAsia="zh-CN"/>
        </w:rPr>
        <w:t>单位</w:t>
      </w:r>
      <w:r>
        <w:rPr>
          <w:rFonts w:hint="eastAsia" w:ascii="黑体" w:hAnsi="宋体" w:eastAsia="黑体" w:cs="黑体"/>
          <w:sz w:val="32"/>
          <w:szCs w:val="32"/>
          <w:highlight w:val="none"/>
        </w:rPr>
        <w:t>预算表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一、《收支预算总表》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二、《</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收入总表》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三、《</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支出总表》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四、《财政拨款收支总表》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五、《一般公共预算支出表》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六、《一般公共预算基本支出表》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七、《财政拨款“三公”经费支出表》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八、《政府性基金预算支出表》</w:t>
      </w:r>
    </w:p>
    <w:p>
      <w:pPr>
        <w:pStyle w:val="12"/>
        <w:tabs>
          <w:tab w:val="left" w:pos="6546"/>
        </w:tabs>
        <w:spacing w:line="540" w:lineRule="exac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九、</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部门整体支出绩效目标表</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ab/>
      </w:r>
    </w:p>
    <w:p>
      <w:pPr>
        <w:pStyle w:val="12"/>
        <w:tabs>
          <w:tab w:val="left" w:pos="6546"/>
        </w:tabs>
        <w:spacing w:line="560" w:lineRule="exac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lang w:val="en-US" w:eastAsia="zh-CN"/>
        </w:rPr>
        <w:t>十</w:t>
      </w:r>
      <w:r>
        <w:rPr>
          <w:rFonts w:hint="eastAsia" w:ascii="Adobe 仿宋 Std R" w:hAnsi="Adobe 仿宋 Std R" w:eastAsia="Adobe 仿宋 Std R"/>
          <w:kern w:val="2"/>
          <w:sz w:val="32"/>
          <w:szCs w:val="30"/>
        </w:rPr>
        <w:t>、</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项目绩效目标表</w:t>
      </w:r>
      <w:r>
        <w:rPr>
          <w:rFonts w:ascii="Adobe 仿宋 Std R" w:hAnsi="Adobe 仿宋 Std R" w:eastAsia="Adobe 仿宋 Std R"/>
          <w:kern w:val="2"/>
          <w:sz w:val="32"/>
          <w:szCs w:val="30"/>
        </w:rPr>
        <w:t>》</w:t>
      </w:r>
    </w:p>
    <w:p>
      <w:pPr>
        <w:ind w:firstLine="1280" w:firstLineChars="400"/>
        <w:rPr>
          <w:rFonts w:hint="eastAsia" w:ascii="仿宋_GB2312" w:hAnsi="宋体" w:eastAsia="仿宋_GB2312" w:cs="仿宋_GB2312"/>
          <w:sz w:val="32"/>
          <w:szCs w:val="32"/>
          <w:highlight w:val="none"/>
          <w:lang w:eastAsia="zh-CN"/>
        </w:rPr>
      </w:pPr>
    </w:p>
    <w:p>
      <w:pPr>
        <w:rPr>
          <w:rFonts w:hint="eastAsia" w:ascii="黑体" w:hAnsi="宋体" w:eastAsia="黑体" w:cs="黑体"/>
          <w:sz w:val="32"/>
          <w:szCs w:val="32"/>
          <w:highlight w:val="none"/>
        </w:rPr>
      </w:pPr>
      <w:r>
        <w:rPr>
          <w:rFonts w:ascii="仿宋_GB2312" w:hAnsi="宋体" w:eastAsia="仿宋_GB2312" w:cs="仿宋_GB2312"/>
          <w:sz w:val="32"/>
          <w:szCs w:val="32"/>
          <w:highlight w:val="none"/>
        </w:rPr>
        <w:t xml:space="preserve">   </w:t>
      </w:r>
      <w:r>
        <w:rPr>
          <w:rFonts w:hint="eastAsia" w:ascii="黑体" w:hAnsi="宋体" w:eastAsia="黑体" w:cs="黑体"/>
          <w:sz w:val="32"/>
          <w:szCs w:val="32"/>
          <w:highlight w:val="none"/>
        </w:rPr>
        <w:t>第四部分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名词解释</w:t>
      </w:r>
    </w:p>
    <w:p>
      <w:pPr>
        <w:rPr>
          <w:rFonts w:hint="eastAsia" w:ascii="黑体" w:hAnsi="宋体" w:eastAsia="黑体" w:cs="黑体"/>
          <w:sz w:val="32"/>
          <w:szCs w:val="32"/>
          <w:highlight w:val="none"/>
        </w:rPr>
      </w:pPr>
    </w:p>
    <w:p>
      <w:pPr>
        <w:ind w:firstLine="640" w:firstLineChars="200"/>
        <w:rPr>
          <w:rFonts w:ascii="黑体" w:eastAsia="黑体" w:cs="Times New Roman"/>
          <w:sz w:val="32"/>
          <w:szCs w:val="32"/>
          <w:highlight w:val="none"/>
        </w:rPr>
      </w:pPr>
      <w:r>
        <w:rPr>
          <w:rFonts w:hint="eastAsia" w:ascii="黑体" w:hAnsi="宋体" w:eastAsia="黑体" w:cs="黑体"/>
          <w:sz w:val="32"/>
          <w:szCs w:val="32"/>
          <w:highlight w:val="none"/>
        </w:rPr>
        <w:t>第一部分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景德镇</w:t>
      </w:r>
      <w:r>
        <w:rPr>
          <w:rFonts w:hint="eastAsia" w:ascii="黑体" w:hAnsi="宋体" w:eastAsia="黑体" w:cs="黑体"/>
          <w:sz w:val="32"/>
          <w:szCs w:val="32"/>
          <w:highlight w:val="none"/>
          <w:lang w:eastAsia="zh-CN"/>
        </w:rPr>
        <w:t>市农业科学研究所</w:t>
      </w:r>
      <w:r>
        <w:rPr>
          <w:rFonts w:hint="eastAsia" w:ascii="黑体" w:hAnsi="宋体" w:eastAsia="黑体" w:cs="黑体"/>
          <w:sz w:val="32"/>
          <w:szCs w:val="32"/>
          <w:highlight w:val="none"/>
        </w:rPr>
        <w:t>概况</w:t>
      </w:r>
    </w:p>
    <w:p>
      <w:pPr>
        <w:numPr>
          <w:ilvl w:val="0"/>
          <w:numId w:val="0"/>
        </w:numPr>
        <w:rPr>
          <w:rFonts w:hint="eastAsia" w:ascii="仿宋_GB2312" w:eastAsia="仿宋_GB2312"/>
          <w:b/>
          <w:sz w:val="32"/>
          <w:szCs w:val="32"/>
          <w:highlight w:val="none"/>
          <w:lang w:val="en-US" w:eastAsia="zh-CN"/>
        </w:rPr>
      </w:pPr>
      <w:r>
        <w:rPr>
          <w:rFonts w:hint="eastAsia" w:ascii="仿宋" w:hAnsi="仿宋" w:eastAsia="仿宋" w:cs="仿宋"/>
          <w:i w:val="0"/>
          <w:iCs w:val="0"/>
          <w:caps w:val="0"/>
          <w:color w:val="333333"/>
          <w:spacing w:val="0"/>
          <w:sz w:val="32"/>
          <w:szCs w:val="32"/>
          <w:highlight w:val="none"/>
          <w:shd w:val="clear" w:fill="FFFFFF"/>
        </w:rPr>
        <w:t>    </w:t>
      </w:r>
      <w:r>
        <w:rPr>
          <w:rFonts w:hint="eastAsia" w:ascii="仿宋" w:hAnsi="仿宋" w:eastAsia="仿宋" w:cs="仿宋"/>
          <w:i w:val="0"/>
          <w:iCs w:val="0"/>
          <w:caps w:val="0"/>
          <w:color w:val="333333"/>
          <w:spacing w:val="0"/>
          <w:sz w:val="32"/>
          <w:szCs w:val="32"/>
          <w:highlight w:val="none"/>
          <w:shd w:val="clear" w:fill="FFFFFF"/>
          <w:lang w:val="en-US" w:eastAsia="zh-CN"/>
        </w:rPr>
        <w:t xml:space="preserve"> </w:t>
      </w:r>
      <w:r>
        <w:rPr>
          <w:rFonts w:hint="eastAsia" w:ascii="仿宋" w:hAnsi="仿宋" w:eastAsia="仿宋" w:cs="仿宋"/>
          <w:b/>
          <w:bCs/>
          <w:sz w:val="32"/>
          <w:szCs w:val="32"/>
          <w:highlight w:val="none"/>
        </w:rPr>
        <w:t>一、</w:t>
      </w:r>
      <w:r>
        <w:rPr>
          <w:rFonts w:hint="eastAsia" w:ascii="仿宋" w:hAnsi="仿宋" w:eastAsia="仿宋" w:cs="仿宋"/>
          <w:b/>
          <w:bCs/>
          <w:sz w:val="32"/>
          <w:szCs w:val="32"/>
          <w:highlight w:val="none"/>
          <w:lang w:val="en-US" w:eastAsia="zh-CN"/>
        </w:rPr>
        <w:t>单位主要职责：</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（一）从事农牧渔业科学技术研究、示范与推广。</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（二）从事农牧渔业新品种和新技术的研发、引进、试验示范与推广。</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（三）从事农产品（绿色食品、有机食品）深加工技术研究、示范、推广。</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（四）做好科技成果转化工作，为农业产业化经营提供技术支撑服务。</w:t>
      </w:r>
    </w:p>
    <w:p>
      <w:pPr>
        <w:keepNext w:val="0"/>
        <w:keepLines w:val="0"/>
        <w:pageBreakBefore w:val="0"/>
        <w:widowControl w:val="0"/>
        <w:kinsoku/>
        <w:wordWrap/>
        <w:overflowPunct/>
        <w:topLinePunct w:val="0"/>
        <w:autoSpaceDE/>
        <w:autoSpaceDN/>
        <w:bidi w:val="0"/>
        <w:adjustRightInd/>
        <w:snapToGrid/>
        <w:spacing w:line="240" w:lineRule="auto"/>
        <w:ind w:firstLine="66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（五）组织开展现代农业、生态农业、休闲农业</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乡村旅游农业</w:t>
      </w:r>
      <w:r>
        <w:rPr>
          <w:rFonts w:hint="eastAsia" w:ascii="仿宋" w:hAnsi="仿宋" w:eastAsia="仿宋" w:cs="仿宋"/>
          <w:sz w:val="32"/>
          <w:szCs w:val="32"/>
          <w:highlight w:val="none"/>
          <w:lang w:val="en-US" w:eastAsia="zh-CN"/>
        </w:rPr>
        <w:t>和乡村振兴</w:t>
      </w:r>
      <w:r>
        <w:rPr>
          <w:rFonts w:hint="eastAsia" w:ascii="仿宋" w:hAnsi="仿宋" w:eastAsia="仿宋" w:cs="仿宋"/>
          <w:sz w:val="32"/>
          <w:szCs w:val="32"/>
          <w:highlight w:val="none"/>
        </w:rPr>
        <w:t>发展模式对策及相关技术研究示范推广；开展生态文化、农耕文化挖掘研究；为政府决策提供科学依据。</w:t>
      </w:r>
    </w:p>
    <w:p>
      <w:pPr>
        <w:keepNext w:val="0"/>
        <w:keepLines w:val="0"/>
        <w:pageBreakBefore w:val="0"/>
        <w:widowControl w:val="0"/>
        <w:kinsoku/>
        <w:wordWrap/>
        <w:overflowPunct/>
        <w:topLinePunct w:val="0"/>
        <w:autoSpaceDE/>
        <w:autoSpaceDN/>
        <w:bidi w:val="0"/>
        <w:adjustRightInd/>
        <w:snapToGrid/>
        <w:spacing w:line="240" w:lineRule="auto"/>
        <w:ind w:firstLine="66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（六）组织开展科技服务活动和农业实用技术培训，宣传普及农业科技知识。</w:t>
      </w:r>
    </w:p>
    <w:p>
      <w:pPr>
        <w:keepNext w:val="0"/>
        <w:keepLines w:val="0"/>
        <w:pageBreakBefore w:val="0"/>
        <w:widowControl w:val="0"/>
        <w:kinsoku/>
        <w:wordWrap/>
        <w:overflowPunct/>
        <w:topLinePunct w:val="0"/>
        <w:autoSpaceDE/>
        <w:autoSpaceDN/>
        <w:bidi w:val="0"/>
        <w:adjustRightInd/>
        <w:snapToGrid/>
        <w:spacing w:line="240" w:lineRule="auto"/>
        <w:ind w:firstLine="66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（七）组织承担国家省市各类科技计划项目（课题），组织开展产学研用技术协作。</w:t>
      </w:r>
    </w:p>
    <w:p>
      <w:pPr>
        <w:keepNext w:val="0"/>
        <w:keepLines w:val="0"/>
        <w:pageBreakBefore w:val="0"/>
        <w:widowControl w:val="0"/>
        <w:kinsoku/>
        <w:wordWrap/>
        <w:overflowPunct/>
        <w:topLinePunct w:val="0"/>
        <w:autoSpaceDE/>
        <w:autoSpaceDN/>
        <w:bidi w:val="0"/>
        <w:adjustRightInd/>
        <w:snapToGrid/>
        <w:spacing w:line="240" w:lineRule="auto"/>
        <w:ind w:firstLine="66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（八）实施创新驱动发展战略，建设现代农业科技创新体系和创新平台，创新服务发展升级的体制机制，增强科技服务发展升级的能力和水平。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63" w:left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（九）承办市农业</w:t>
      </w:r>
      <w:r>
        <w:rPr>
          <w:rFonts w:hint="eastAsia" w:ascii="仿宋" w:hAnsi="仿宋" w:eastAsia="仿宋" w:cs="仿宋"/>
          <w:sz w:val="32"/>
          <w:szCs w:val="32"/>
          <w:highlight w:val="none"/>
          <w:lang w:val="en-US" w:eastAsia="zh-CN"/>
        </w:rPr>
        <w:t>农村</w:t>
      </w:r>
      <w:r>
        <w:rPr>
          <w:rFonts w:hint="eastAsia" w:ascii="仿宋" w:hAnsi="仿宋" w:eastAsia="仿宋" w:cs="仿宋"/>
          <w:sz w:val="32"/>
          <w:szCs w:val="32"/>
          <w:highlight w:val="none"/>
        </w:rPr>
        <w:t>局交办的其他工作。</w:t>
      </w:r>
    </w:p>
    <w:p>
      <w:pPr>
        <w:numPr>
          <w:ilvl w:val="0"/>
          <w:numId w:val="0"/>
        </w:numPr>
        <w:rPr>
          <w:rFonts w:hint="eastAsia" w:ascii="仿宋" w:hAnsi="仿宋" w:eastAsia="仿宋" w:cs="仿宋"/>
          <w:b/>
          <w:bCs/>
          <w:sz w:val="32"/>
          <w:szCs w:val="32"/>
          <w:highlight w:val="none"/>
        </w:rPr>
      </w:pPr>
      <w:bookmarkStart w:id="0" w:name="_GoBack"/>
      <w:r>
        <w:rPr>
          <w:rFonts w:hint="eastAsia" w:ascii="仿宋" w:hAnsi="仿宋" w:eastAsia="仿宋" w:cs="仿宋"/>
          <w:b/>
          <w:bCs/>
          <w:sz w:val="32"/>
          <w:szCs w:val="32"/>
          <w:highlight w:val="none"/>
        </w:rPr>
        <w:t>二、机构设置及人员情况</w:t>
      </w:r>
    </w:p>
    <w:bookmarkEnd w:id="0"/>
    <w:p>
      <w:pPr>
        <w:numPr>
          <w:ilvl w:val="0"/>
          <w:numId w:val="0"/>
        </w:numPr>
        <w:ind w:firstLine="640" w:firstLineChars="200"/>
        <w:jc w:val="left"/>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　　景德镇市农业科学研究所</w:t>
      </w:r>
      <w:r>
        <w:rPr>
          <w:rFonts w:hint="eastAsia" w:ascii="仿宋" w:hAnsi="仿宋" w:eastAsia="仿宋" w:cs="仿宋"/>
          <w:sz w:val="32"/>
          <w:szCs w:val="32"/>
          <w:highlight w:val="none"/>
          <w:lang w:val="en-US" w:eastAsia="zh-CN"/>
        </w:rPr>
        <w:t>是整合景德镇市农牧渔业科学研究所、景德镇市茶叶科学研究所、景德镇市水稻畜禽良种示范繁殖场，组建的市政府直属公益一类</w:t>
      </w:r>
      <w:r>
        <w:rPr>
          <w:rFonts w:hint="eastAsia" w:ascii="仿宋" w:hAnsi="仿宋" w:eastAsia="仿宋" w:cs="仿宋"/>
          <w:sz w:val="32"/>
          <w:szCs w:val="32"/>
          <w:highlight w:val="none"/>
          <w:lang w:eastAsia="zh-CN"/>
        </w:rPr>
        <w:t>全额拨款事业单位，正</w:t>
      </w:r>
      <w:r>
        <w:rPr>
          <w:rFonts w:hint="eastAsia" w:ascii="仿宋" w:hAnsi="仿宋" w:eastAsia="仿宋" w:cs="仿宋"/>
          <w:sz w:val="32"/>
          <w:szCs w:val="32"/>
          <w:highlight w:val="none"/>
          <w:lang w:val="en-US" w:eastAsia="zh-CN"/>
        </w:rPr>
        <w:t>处</w:t>
      </w:r>
      <w:r>
        <w:rPr>
          <w:rFonts w:hint="eastAsia" w:ascii="仿宋" w:hAnsi="仿宋" w:eastAsia="仿宋" w:cs="仿宋"/>
          <w:sz w:val="32"/>
          <w:szCs w:val="32"/>
          <w:highlight w:val="none"/>
          <w:lang w:eastAsia="zh-CN"/>
        </w:rPr>
        <w:t>级，</w:t>
      </w:r>
      <w:r>
        <w:rPr>
          <w:rFonts w:hint="eastAsia" w:ascii="仿宋" w:hAnsi="仿宋" w:eastAsia="仿宋" w:cs="仿宋"/>
          <w:sz w:val="32"/>
          <w:szCs w:val="32"/>
          <w:highlight w:val="none"/>
          <w:lang w:val="en-US" w:eastAsia="zh-CN"/>
        </w:rPr>
        <w:t>由景德镇市农业农村局管理。同时将撤销的景德镇市商品粮供应管理所和景德镇市粮食学校在编人员整体划转到景德镇市农业科学研究所。</w:t>
      </w:r>
      <w:r>
        <w:rPr>
          <w:rFonts w:hint="eastAsia" w:ascii="仿宋" w:hAnsi="仿宋" w:eastAsia="仿宋" w:cs="仿宋"/>
          <w:b w:val="0"/>
          <w:bCs/>
          <w:sz w:val="32"/>
          <w:szCs w:val="32"/>
          <w:highlight w:val="none"/>
          <w:lang w:val="en-US" w:eastAsia="zh-CN"/>
        </w:rPr>
        <w:t>景德镇市农业科学研究所</w:t>
      </w:r>
      <w:r>
        <w:rPr>
          <w:rFonts w:hint="eastAsia" w:ascii="仿宋" w:hAnsi="仿宋" w:eastAsia="仿宋" w:cs="仿宋"/>
          <w:sz w:val="32"/>
          <w:szCs w:val="32"/>
          <w:highlight w:val="none"/>
        </w:rPr>
        <w:t>共设</w:t>
      </w:r>
      <w:r>
        <w:rPr>
          <w:rFonts w:hint="eastAsia" w:ascii="仿宋" w:hAnsi="仿宋" w:eastAsia="仿宋" w:cs="仿宋"/>
          <w:sz w:val="32"/>
          <w:szCs w:val="32"/>
          <w:highlight w:val="none"/>
          <w:lang w:val="en-US" w:eastAsia="zh-CN"/>
        </w:rPr>
        <w:t>7个内设科室，分别为：</w:t>
      </w:r>
      <w:r>
        <w:rPr>
          <w:rFonts w:hint="eastAsia" w:ascii="仿宋" w:hAnsi="仿宋" w:eastAsia="仿宋" w:cs="仿宋"/>
          <w:sz w:val="32"/>
          <w:szCs w:val="32"/>
          <w:highlight w:val="none"/>
          <w:lang w:eastAsia="zh-CN"/>
        </w:rPr>
        <w:t>办公室、计划财务科、科学技术科、农产品加工研究室、粮油作物研究室、经济作物研究室、畜牧水产研究室。</w:t>
      </w:r>
    </w:p>
    <w:p>
      <w:pPr>
        <w:ind w:firstLine="640" w:firstLineChars="200"/>
        <w:rPr>
          <w:rFonts w:hint="eastAsia" w:ascii="仿宋_GB2312" w:hAnsi="宋体" w:eastAsia="仿宋_GB2312"/>
          <w:sz w:val="32"/>
          <w:szCs w:val="32"/>
          <w:highlight w:val="none"/>
        </w:rPr>
      </w:pPr>
      <w:r>
        <w:rPr>
          <w:rFonts w:hint="eastAsia" w:ascii="仿宋_GB2312" w:hAnsi="宋体" w:eastAsia="仿宋_GB2312" w:cs="仿宋_GB2312"/>
          <w:sz w:val="32"/>
          <w:szCs w:val="32"/>
          <w:highlight w:val="none"/>
        </w:rPr>
        <w:t>编制数为</w:t>
      </w:r>
      <w:r>
        <w:rPr>
          <w:rFonts w:hint="eastAsia" w:ascii="仿宋_GB2312" w:hAnsi="宋体" w:eastAsia="仿宋_GB2312" w:cs="仿宋_GB2312"/>
          <w:sz w:val="32"/>
          <w:szCs w:val="32"/>
          <w:highlight w:val="none"/>
          <w:lang w:val="en-US" w:eastAsia="zh-CN"/>
        </w:rPr>
        <w:t>52</w:t>
      </w:r>
      <w:r>
        <w:rPr>
          <w:rFonts w:hint="eastAsia" w:ascii="仿宋_GB2312" w:hAnsi="宋体" w:eastAsia="仿宋_GB2312" w:cs="仿宋_GB2312"/>
          <w:sz w:val="32"/>
          <w:szCs w:val="32"/>
          <w:highlight w:val="none"/>
        </w:rPr>
        <w:t>人，其中行政编制</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人、全额补助事业编制</w:t>
      </w:r>
      <w:r>
        <w:rPr>
          <w:rFonts w:hint="eastAsia" w:ascii="仿宋_GB2312" w:hAnsi="宋体" w:eastAsia="仿宋_GB2312" w:cs="仿宋_GB2312"/>
          <w:sz w:val="32"/>
          <w:szCs w:val="32"/>
          <w:highlight w:val="none"/>
          <w:lang w:val="en-US" w:eastAsia="zh-CN"/>
        </w:rPr>
        <w:t>48</w:t>
      </w:r>
      <w:r>
        <w:rPr>
          <w:rFonts w:hint="eastAsia" w:ascii="仿宋_GB2312" w:hAnsi="宋体" w:eastAsia="仿宋_GB2312" w:cs="仿宋_GB2312"/>
          <w:sz w:val="32"/>
          <w:szCs w:val="32"/>
          <w:highlight w:val="none"/>
        </w:rPr>
        <w:t>人、部分补助事业编制</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人、自收自支事业编制</w:t>
      </w:r>
      <w:r>
        <w:rPr>
          <w:rFonts w:hint="eastAsia" w:ascii="仿宋_GB2312" w:hAnsi="宋体" w:eastAsia="仿宋_GB2312" w:cs="仿宋_GB2312"/>
          <w:sz w:val="32"/>
          <w:szCs w:val="32"/>
          <w:highlight w:val="none"/>
          <w:lang w:val="en-US" w:eastAsia="zh-CN"/>
        </w:rPr>
        <w:t>4</w:t>
      </w:r>
      <w:r>
        <w:rPr>
          <w:rFonts w:hint="eastAsia" w:ascii="仿宋_GB2312" w:hAnsi="宋体" w:eastAsia="仿宋_GB2312" w:cs="仿宋_GB2312"/>
          <w:sz w:val="32"/>
          <w:szCs w:val="32"/>
          <w:highlight w:val="none"/>
        </w:rPr>
        <w:t>人；实有人数</w:t>
      </w:r>
      <w:r>
        <w:rPr>
          <w:rFonts w:hint="eastAsia" w:ascii="仿宋_GB2312" w:hAnsi="宋体" w:eastAsia="仿宋_GB2312" w:cs="仿宋_GB2312"/>
          <w:sz w:val="32"/>
          <w:szCs w:val="32"/>
          <w:highlight w:val="none"/>
          <w:lang w:val="en-US" w:eastAsia="zh-CN"/>
        </w:rPr>
        <w:t>68</w:t>
      </w:r>
      <w:r>
        <w:rPr>
          <w:rFonts w:hint="eastAsia" w:ascii="仿宋_GB2312" w:hAnsi="宋体" w:eastAsia="仿宋_GB2312" w:cs="仿宋_GB2312"/>
          <w:sz w:val="32"/>
          <w:szCs w:val="32"/>
          <w:highlight w:val="none"/>
        </w:rPr>
        <w:t>人，其中在职人数为</w:t>
      </w:r>
      <w:r>
        <w:rPr>
          <w:rFonts w:hint="eastAsia" w:ascii="仿宋_GB2312" w:hAnsi="宋体" w:eastAsia="仿宋_GB2312" w:cs="仿宋_GB2312"/>
          <w:sz w:val="32"/>
          <w:szCs w:val="32"/>
          <w:highlight w:val="none"/>
          <w:lang w:val="en-US" w:eastAsia="zh-CN"/>
        </w:rPr>
        <w:t>46</w:t>
      </w:r>
      <w:r>
        <w:rPr>
          <w:rFonts w:hint="eastAsia" w:ascii="仿宋_GB2312" w:hAnsi="宋体" w:eastAsia="仿宋_GB2312" w:cs="仿宋_GB2312"/>
          <w:sz w:val="32"/>
          <w:szCs w:val="32"/>
          <w:highlight w:val="none"/>
        </w:rPr>
        <w:t>人，包括行政人员</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人、全额补助事业人员</w:t>
      </w:r>
      <w:r>
        <w:rPr>
          <w:rFonts w:hint="eastAsia" w:ascii="仿宋_GB2312" w:hAnsi="宋体" w:eastAsia="仿宋_GB2312" w:cs="仿宋_GB2312"/>
          <w:sz w:val="32"/>
          <w:szCs w:val="32"/>
          <w:highlight w:val="none"/>
          <w:lang w:val="en-US" w:eastAsia="zh-CN"/>
        </w:rPr>
        <w:t>44</w:t>
      </w:r>
      <w:r>
        <w:rPr>
          <w:rFonts w:hint="eastAsia" w:ascii="仿宋_GB2312" w:hAnsi="宋体" w:eastAsia="仿宋_GB2312" w:cs="仿宋_GB2312"/>
          <w:sz w:val="32"/>
          <w:szCs w:val="32"/>
          <w:highlight w:val="none"/>
        </w:rPr>
        <w:t>人、部分补助事业编人员</w:t>
      </w:r>
      <w:r>
        <w:rPr>
          <w:rFonts w:hint="eastAsia" w:ascii="仿宋_GB2312" w:hAnsi="宋体" w:eastAsia="仿宋_GB2312" w:cs="仿宋_GB2312"/>
          <w:sz w:val="32"/>
          <w:szCs w:val="32"/>
          <w:highlight w:val="none"/>
          <w:lang w:val="en-US" w:eastAsia="zh-CN"/>
        </w:rPr>
        <w:t>2</w:t>
      </w:r>
      <w:r>
        <w:rPr>
          <w:rFonts w:hint="eastAsia" w:ascii="仿宋_GB2312" w:hAnsi="宋体" w:eastAsia="仿宋_GB2312" w:cs="仿宋_GB2312"/>
          <w:sz w:val="32"/>
          <w:szCs w:val="32"/>
          <w:highlight w:val="none"/>
        </w:rPr>
        <w:t>人、自收自支事业人员</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人；离休人员</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人；退休人员</w:t>
      </w:r>
      <w:r>
        <w:rPr>
          <w:rFonts w:hint="eastAsia" w:ascii="仿宋_GB2312" w:hAnsi="宋体" w:eastAsia="仿宋_GB2312" w:cs="仿宋_GB2312"/>
          <w:sz w:val="32"/>
          <w:szCs w:val="32"/>
          <w:highlight w:val="none"/>
          <w:lang w:val="en-US" w:eastAsia="zh-CN"/>
        </w:rPr>
        <w:t>22</w:t>
      </w:r>
      <w:r>
        <w:rPr>
          <w:rFonts w:hint="eastAsia" w:ascii="仿宋_GB2312" w:hAnsi="宋体" w:eastAsia="仿宋_GB2312" w:cs="仿宋_GB2312"/>
          <w:sz w:val="32"/>
          <w:szCs w:val="32"/>
          <w:highlight w:val="none"/>
        </w:rPr>
        <w:t>人</w:t>
      </w:r>
      <w:r>
        <w:rPr>
          <w:rFonts w:hint="eastAsia" w:ascii="仿宋_GB2312" w:hAnsi="宋体" w:eastAsia="仿宋_GB2312" w:cs="仿宋_GB2312"/>
          <w:sz w:val="32"/>
          <w:szCs w:val="32"/>
          <w:highlight w:val="none"/>
          <w:lang w:eastAsia="zh-CN"/>
        </w:rPr>
        <w:t>；遗属人员</w:t>
      </w:r>
      <w:r>
        <w:rPr>
          <w:rFonts w:hint="eastAsia" w:ascii="仿宋_GB2312" w:hAnsi="宋体" w:eastAsia="仿宋_GB2312" w:cs="仿宋_GB2312"/>
          <w:sz w:val="32"/>
          <w:szCs w:val="32"/>
          <w:highlight w:val="none"/>
          <w:lang w:val="en-US" w:eastAsia="zh-CN"/>
        </w:rPr>
        <w:t>2人</w:t>
      </w:r>
      <w:r>
        <w:rPr>
          <w:rFonts w:hint="eastAsia" w:ascii="仿宋_GB2312" w:hAnsi="宋体" w:eastAsia="仿宋_GB2312" w:cs="仿宋_GB2312"/>
          <w:sz w:val="32"/>
          <w:szCs w:val="32"/>
          <w:highlight w:val="none"/>
        </w:rPr>
        <w:t>。</w:t>
      </w:r>
    </w:p>
    <w:p>
      <w:pPr>
        <w:ind w:firstLine="640" w:firstLineChars="200"/>
        <w:rPr>
          <w:rFonts w:ascii="黑体" w:hAnsi="宋体" w:eastAsia="黑体" w:cs="Times New Roman"/>
          <w:sz w:val="32"/>
          <w:szCs w:val="32"/>
          <w:highlight w:val="none"/>
        </w:rPr>
      </w:pPr>
      <w:r>
        <w:rPr>
          <w:rFonts w:hint="eastAsia" w:ascii="黑体" w:hAnsi="宋体" w:eastAsia="黑体" w:cs="黑体"/>
          <w:sz w:val="32"/>
          <w:szCs w:val="32"/>
          <w:highlight w:val="none"/>
        </w:rPr>
        <w:t>第二部分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景德镇</w:t>
      </w:r>
      <w:r>
        <w:rPr>
          <w:rFonts w:hint="eastAsia" w:ascii="黑体" w:hAnsi="宋体" w:eastAsia="黑体" w:cs="黑体"/>
          <w:sz w:val="32"/>
          <w:szCs w:val="32"/>
          <w:highlight w:val="none"/>
          <w:lang w:eastAsia="zh-CN"/>
        </w:rPr>
        <w:t>市农业科学研究所2022</w:t>
      </w:r>
      <w:r>
        <w:rPr>
          <w:rFonts w:hint="eastAsia" w:ascii="黑体" w:hAnsi="宋体" w:eastAsia="黑体" w:cs="黑体"/>
          <w:sz w:val="32"/>
          <w:szCs w:val="32"/>
          <w:highlight w:val="none"/>
        </w:rPr>
        <w:t>年</w:t>
      </w:r>
      <w:r>
        <w:rPr>
          <w:rFonts w:hint="eastAsia" w:ascii="黑体" w:hAnsi="宋体" w:eastAsia="黑体" w:cs="黑体"/>
          <w:sz w:val="32"/>
          <w:szCs w:val="32"/>
          <w:highlight w:val="none"/>
          <w:lang w:eastAsia="zh-CN"/>
        </w:rPr>
        <w:t>单位</w:t>
      </w:r>
      <w:r>
        <w:rPr>
          <w:rFonts w:hint="eastAsia" w:ascii="黑体" w:hAnsi="宋体" w:eastAsia="黑体" w:cs="黑体"/>
          <w:sz w:val="32"/>
          <w:szCs w:val="32"/>
          <w:highlight w:val="none"/>
        </w:rPr>
        <w:t>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b/>
          <w:bCs/>
          <w:i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333333"/>
          <w:spacing w:val="0"/>
          <w:sz w:val="32"/>
          <w:szCs w:val="32"/>
          <w:highlight w:val="none"/>
          <w:shd w:val="clear" w:fill="FFFFFF"/>
        </w:rPr>
        <w:t> </w:t>
      </w:r>
      <w:r>
        <w:rPr>
          <w:rFonts w:hint="eastAsia" w:ascii="仿宋" w:hAnsi="仿宋" w:eastAsia="仿宋" w:cs="仿宋"/>
          <w:b/>
          <w:bCs/>
          <w:i w:val="0"/>
          <w:iCs w:val="0"/>
          <w:caps w:val="0"/>
          <w:color w:val="333333"/>
          <w:spacing w:val="0"/>
          <w:sz w:val="32"/>
          <w:szCs w:val="32"/>
          <w:highlight w:val="none"/>
          <w:shd w:val="clear" w:fill="FFFFFF"/>
          <w:lang w:val="en-US" w:eastAsia="zh-CN"/>
        </w:rPr>
        <w:t xml:space="preserve">  </w:t>
      </w:r>
      <w:r>
        <w:rPr>
          <w:rFonts w:hint="default" w:ascii="仿宋_GB2312" w:hAnsi="微软雅黑" w:eastAsia="仿宋_GB2312" w:cs="仿宋_GB2312"/>
          <w:b/>
          <w:bCs/>
          <w:i w:val="0"/>
          <w:caps w:val="0"/>
          <w:color w:val="000000"/>
          <w:spacing w:val="0"/>
          <w:kern w:val="0"/>
          <w:sz w:val="32"/>
          <w:szCs w:val="32"/>
          <w:highlight w:val="none"/>
          <w:shd w:val="clear" w:fill="FFFFFF"/>
          <w:lang w:val="en-US" w:eastAsia="zh-CN" w:bidi="ar"/>
        </w:rPr>
        <w:t>一、</w:t>
      </w:r>
      <w:r>
        <w:rPr>
          <w:rFonts w:hint="eastAsia" w:ascii="仿宋_GB2312" w:hAnsi="微软雅黑" w:eastAsia="仿宋_GB2312" w:cs="仿宋_GB2312"/>
          <w:b/>
          <w:bCs/>
          <w:i w:val="0"/>
          <w:caps w:val="0"/>
          <w:color w:val="000000"/>
          <w:spacing w:val="0"/>
          <w:kern w:val="0"/>
          <w:sz w:val="32"/>
          <w:szCs w:val="32"/>
          <w:highlight w:val="none"/>
          <w:shd w:val="clear" w:fill="FFFFFF"/>
          <w:lang w:val="en-US" w:eastAsia="zh-CN" w:bidi="ar"/>
        </w:rPr>
        <w:t>2022</w:t>
      </w:r>
      <w:r>
        <w:rPr>
          <w:rFonts w:hint="default" w:ascii="仿宋_GB2312" w:hAnsi="微软雅黑" w:eastAsia="仿宋_GB2312" w:cs="仿宋_GB2312"/>
          <w:b/>
          <w:bCs/>
          <w:i w:val="0"/>
          <w:caps w:val="0"/>
          <w:color w:val="000000"/>
          <w:spacing w:val="0"/>
          <w:kern w:val="0"/>
          <w:sz w:val="32"/>
          <w:szCs w:val="32"/>
          <w:highlight w:val="none"/>
          <w:shd w:val="clear" w:fill="FFFFFF"/>
          <w:lang w:val="en-US" w:eastAsia="zh-CN" w:bidi="ar"/>
        </w:rPr>
        <w:t>年</w:t>
      </w:r>
      <w:r>
        <w:rPr>
          <w:rFonts w:hint="eastAsia" w:ascii="仿宋_GB2312" w:hAnsi="微软雅黑" w:eastAsia="仿宋_GB2312" w:cs="仿宋_GB2312"/>
          <w:b/>
          <w:bCs/>
          <w:i w:val="0"/>
          <w:caps w:val="0"/>
          <w:color w:val="000000"/>
          <w:spacing w:val="0"/>
          <w:kern w:val="0"/>
          <w:sz w:val="32"/>
          <w:szCs w:val="32"/>
          <w:highlight w:val="none"/>
          <w:shd w:val="clear" w:fill="FFFFFF"/>
          <w:lang w:val="en-US" w:eastAsia="zh-CN" w:bidi="ar"/>
        </w:rPr>
        <w:t>单位</w:t>
      </w:r>
      <w:r>
        <w:rPr>
          <w:rFonts w:hint="default" w:ascii="仿宋_GB2312" w:hAnsi="微软雅黑" w:eastAsia="仿宋_GB2312" w:cs="仿宋_GB2312"/>
          <w:b/>
          <w:bCs/>
          <w:i w:val="0"/>
          <w:caps w:val="0"/>
          <w:color w:val="000000"/>
          <w:spacing w:val="0"/>
          <w:kern w:val="0"/>
          <w:sz w:val="32"/>
          <w:szCs w:val="32"/>
          <w:highlight w:val="none"/>
          <w:shd w:val="clear" w:fill="FFFFFF"/>
          <w:lang w:val="en-US" w:eastAsia="zh-CN" w:bidi="ar"/>
        </w:rPr>
        <w:t>预算收支情况说明</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30" w:leftChars="0" w:right="0" w:rightChars="0" w:firstLineChars="0"/>
        <w:jc w:val="left"/>
        <w:rPr>
          <w:rFonts w:hint="eastAsia" w:ascii="仿宋_GB2312" w:hAnsi="宋体" w:eastAsia="仿宋_GB2312" w:cs="仿宋_GB2312"/>
          <w:b/>
          <w:bCs/>
          <w:sz w:val="32"/>
          <w:szCs w:val="32"/>
          <w:highlight w:val="none"/>
        </w:rPr>
      </w:pPr>
      <w:r>
        <w:rPr>
          <w:rFonts w:hint="eastAsia" w:ascii="仿宋_GB2312" w:hAnsi="宋体" w:eastAsia="仿宋_GB2312" w:cs="仿宋_GB2312"/>
          <w:b/>
          <w:bCs/>
          <w:sz w:val="32"/>
          <w:szCs w:val="32"/>
          <w:highlight w:val="none"/>
        </w:rPr>
        <w:t>预算收入情况</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640" w:firstLineChars="200"/>
        <w:jc w:val="left"/>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pP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2022年景德镇市农业科学研究所收入预算情况：收入总预算1077.7万元，比上年增加了199万元，同比增加22.64%，原因是单位机构改革合并，预算进行了汇总，其中：财政拨款收入590.4万元，占</w:t>
      </w:r>
      <w:r>
        <w:rPr>
          <w:rFonts w:hint="eastAsia" w:ascii="仿宋_GB2312" w:hAnsi="宋体" w:eastAsia="仿宋_GB2312" w:cs="仿宋_GB2312"/>
          <w:sz w:val="32"/>
          <w:szCs w:val="32"/>
          <w:highlight w:val="none"/>
        </w:rPr>
        <w:t>收入预算总额</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的54.78%，</w:t>
      </w:r>
      <w:r>
        <w:rPr>
          <w:rFonts w:hint="eastAsia" w:ascii="仿宋_GB2312" w:hAnsi="宋体" w:eastAsia="仿宋_GB2312" w:cs="仿宋_GB2312"/>
          <w:sz w:val="32"/>
          <w:szCs w:val="32"/>
          <w:highlight w:val="none"/>
        </w:rPr>
        <w:t>政府性基金拨款收入</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万元，占收入预算总额的</w:t>
      </w:r>
      <w:r>
        <w:rPr>
          <w:rFonts w:hint="eastAsia" w:ascii="仿宋_GB2312" w:hAnsi="宋体" w:eastAsia="仿宋_GB2312" w:cs="仿宋_GB2312"/>
          <w:sz w:val="32"/>
          <w:szCs w:val="32"/>
          <w:highlight w:val="none"/>
          <w:lang w:val="en-US" w:eastAsia="zh-CN"/>
        </w:rPr>
        <w:t>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；事业收入</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万元，占收入预算总额的</w:t>
      </w:r>
      <w:r>
        <w:rPr>
          <w:rFonts w:hint="eastAsia" w:ascii="仿宋_GB2312" w:hAnsi="宋体" w:eastAsia="仿宋_GB2312" w:cs="仿宋_GB2312"/>
          <w:sz w:val="32"/>
          <w:szCs w:val="32"/>
          <w:highlight w:val="none"/>
          <w:lang w:val="en-US" w:eastAsia="zh-CN"/>
        </w:rPr>
        <w:t>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；事业单位经营收入</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万元，占收入预算总额的</w:t>
      </w:r>
      <w:r>
        <w:rPr>
          <w:rFonts w:hint="eastAsia" w:ascii="仿宋_GB2312" w:hAnsi="宋体" w:eastAsia="仿宋_GB2312" w:cs="仿宋_GB2312"/>
          <w:sz w:val="32"/>
          <w:szCs w:val="32"/>
          <w:highlight w:val="none"/>
          <w:lang w:val="en-US" w:eastAsia="zh-CN"/>
        </w:rPr>
        <w:t>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；当年其他各项收入</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万元，占收入预算总额的</w:t>
      </w:r>
      <w:r>
        <w:rPr>
          <w:rFonts w:hint="eastAsia" w:ascii="仿宋_GB2312" w:hAnsi="宋体" w:eastAsia="仿宋_GB2312" w:cs="仿宋_GB2312"/>
          <w:sz w:val="32"/>
          <w:szCs w:val="32"/>
          <w:highlight w:val="none"/>
          <w:lang w:val="en-US" w:eastAsia="zh-CN"/>
        </w:rPr>
        <w:t>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val="en-US" w:eastAsia="zh-CN"/>
        </w:rPr>
        <w:t>自</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有资金收入487.3万元，占总预算的45.22%；</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30" w:leftChars="0" w:right="0" w:rightChars="0" w:firstLine="0" w:firstLineChars="0"/>
        <w:jc w:val="left"/>
        <w:rPr>
          <w:rFonts w:hint="eastAsia" w:ascii="仿宋_GB2312" w:hAnsi="宋体" w:eastAsia="仿宋_GB2312" w:cs="仿宋_GB2312"/>
          <w:b/>
          <w:bCs/>
          <w:sz w:val="32"/>
          <w:szCs w:val="32"/>
          <w:highlight w:val="none"/>
        </w:rPr>
      </w:pPr>
      <w:r>
        <w:rPr>
          <w:rFonts w:hint="eastAsia" w:ascii="仿宋_GB2312" w:hAnsi="宋体" w:eastAsia="仿宋_GB2312" w:cs="仿宋_GB2312"/>
          <w:b/>
          <w:bCs/>
          <w:sz w:val="32"/>
          <w:szCs w:val="32"/>
          <w:highlight w:val="none"/>
        </w:rPr>
        <w:t>预算支出情况</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firstLine="640" w:firstLineChars="200"/>
        <w:jc w:val="left"/>
        <w:rPr>
          <w:rFonts w:hint="eastAsia" w:ascii="仿宋_GB2312" w:hAnsi="宋体" w:eastAsia="仿宋_GB2312" w:cs="仿宋_GB2312"/>
          <w:sz w:val="32"/>
          <w:szCs w:val="32"/>
          <w:highlight w:val="none"/>
          <w:lang w:eastAsia="zh-CN"/>
        </w:rPr>
      </w:pP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2022年景德镇市农业科学研究所支出预算情况：预算总支出1077.7万元，</w:t>
      </w:r>
      <w:r>
        <w:rPr>
          <w:rFonts w:hint="eastAsia" w:ascii="仿宋_GB2312" w:hAnsi="宋体" w:eastAsia="仿宋_GB2312" w:cs="仿宋_GB2312"/>
          <w:sz w:val="32"/>
          <w:szCs w:val="32"/>
          <w:highlight w:val="none"/>
        </w:rPr>
        <w:t>与上年预算相比增</w:t>
      </w:r>
      <w:r>
        <w:rPr>
          <w:rFonts w:hint="eastAsia" w:ascii="仿宋_GB2312" w:hAnsi="宋体" w:eastAsia="仿宋_GB2312" w:cs="仿宋_GB2312"/>
          <w:sz w:val="32"/>
          <w:szCs w:val="32"/>
          <w:highlight w:val="none"/>
          <w:lang w:eastAsia="zh-CN"/>
        </w:rPr>
        <w:t>加</w:t>
      </w:r>
      <w:r>
        <w:rPr>
          <w:rFonts w:hint="eastAsia" w:ascii="仿宋_GB2312" w:hAnsi="宋体" w:eastAsia="仿宋_GB2312" w:cs="仿宋_GB2312"/>
          <w:sz w:val="32"/>
          <w:szCs w:val="32"/>
          <w:highlight w:val="none"/>
          <w:lang w:val="en-US" w:eastAsia="zh-CN"/>
        </w:rPr>
        <w:t>243.99万元，同比增长</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22.64</w:t>
      </w:r>
      <w:r>
        <w:rPr>
          <w:rFonts w:hint="eastAsia" w:ascii="仿宋_GB2312" w:hAnsi="宋体" w:eastAsia="仿宋_GB2312" w:cs="仿宋_GB2312"/>
          <w:sz w:val="32"/>
          <w:szCs w:val="32"/>
          <w:highlight w:val="none"/>
          <w:lang w:val="en-US" w:eastAsia="zh-CN"/>
        </w:rPr>
        <w:t>%，主要原因是：单位合并，导致需要预算的支出增加。</w:t>
      </w:r>
      <w:r>
        <w:rPr>
          <w:rFonts w:hint="eastAsia" w:ascii="仿宋_GB2312" w:hAnsi="宋体" w:eastAsia="仿宋_GB2312" w:cs="仿宋_GB2312"/>
          <w:sz w:val="32"/>
          <w:szCs w:val="32"/>
          <w:highlight w:val="none"/>
        </w:rPr>
        <w:t>其中按支出项目类别划分：基本支出</w:t>
      </w:r>
      <w:r>
        <w:rPr>
          <w:rFonts w:hint="eastAsia" w:ascii="仿宋_GB2312" w:hAnsi="宋体" w:eastAsia="仿宋_GB2312" w:cs="仿宋_GB2312"/>
          <w:sz w:val="32"/>
          <w:szCs w:val="32"/>
          <w:highlight w:val="none"/>
          <w:lang w:val="en-US" w:eastAsia="zh-CN"/>
        </w:rPr>
        <w:t>1041.6</w:t>
      </w:r>
      <w:r>
        <w:rPr>
          <w:rFonts w:hint="eastAsia" w:ascii="仿宋_GB2312" w:hAnsi="宋体" w:eastAsia="仿宋_GB2312" w:cs="仿宋_GB2312"/>
          <w:sz w:val="32"/>
          <w:szCs w:val="32"/>
          <w:highlight w:val="none"/>
        </w:rPr>
        <w:t>万元，占支出预算总额的</w:t>
      </w:r>
      <w:r>
        <w:rPr>
          <w:rFonts w:hint="eastAsia" w:ascii="仿宋_GB2312" w:hAnsi="宋体" w:eastAsia="仿宋_GB2312" w:cs="仿宋_GB2312"/>
          <w:sz w:val="32"/>
          <w:szCs w:val="32"/>
          <w:highlight w:val="none"/>
          <w:lang w:val="en-US" w:eastAsia="zh-CN"/>
        </w:rPr>
        <w:t>96.65</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，包括工资福利支出</w:t>
      </w:r>
      <w:r>
        <w:rPr>
          <w:rFonts w:hint="eastAsia" w:ascii="仿宋_GB2312" w:hAnsi="宋体" w:eastAsia="仿宋_GB2312" w:cs="仿宋_GB2312"/>
          <w:sz w:val="32"/>
          <w:szCs w:val="32"/>
          <w:highlight w:val="none"/>
          <w:lang w:val="en-US" w:eastAsia="zh-CN"/>
        </w:rPr>
        <w:t>567.14</w:t>
      </w:r>
      <w:r>
        <w:rPr>
          <w:rFonts w:hint="eastAsia" w:ascii="仿宋_GB2312" w:hAnsi="宋体" w:eastAsia="仿宋_GB2312" w:cs="仿宋_GB2312"/>
          <w:sz w:val="32"/>
          <w:szCs w:val="32"/>
          <w:highlight w:val="none"/>
        </w:rPr>
        <w:t>万元、商品和服务支出</w:t>
      </w:r>
      <w:r>
        <w:rPr>
          <w:rFonts w:hint="eastAsia" w:ascii="仿宋_GB2312" w:hAnsi="宋体" w:eastAsia="仿宋_GB2312" w:cs="仿宋_GB2312"/>
          <w:sz w:val="32"/>
          <w:szCs w:val="32"/>
          <w:highlight w:val="none"/>
          <w:lang w:val="en-US" w:eastAsia="zh-CN"/>
        </w:rPr>
        <w:t>84.92</w:t>
      </w:r>
      <w:r>
        <w:rPr>
          <w:rFonts w:hint="eastAsia" w:ascii="仿宋_GB2312" w:hAnsi="宋体" w:eastAsia="仿宋_GB2312" w:cs="仿宋_GB2312"/>
          <w:sz w:val="32"/>
          <w:szCs w:val="32"/>
          <w:highlight w:val="none"/>
        </w:rPr>
        <w:t>万元、对个人和家庭的补助</w:t>
      </w:r>
      <w:r>
        <w:rPr>
          <w:rFonts w:hint="eastAsia" w:ascii="仿宋_GB2312" w:hAnsi="宋体" w:eastAsia="仿宋_GB2312" w:cs="仿宋_GB2312"/>
          <w:sz w:val="32"/>
          <w:szCs w:val="32"/>
          <w:highlight w:val="none"/>
          <w:lang w:val="en-US" w:eastAsia="zh-CN"/>
        </w:rPr>
        <w:t>379.54</w:t>
      </w:r>
      <w:r>
        <w:rPr>
          <w:rFonts w:hint="eastAsia" w:ascii="仿宋_GB2312" w:hAnsi="宋体" w:eastAsia="仿宋_GB2312" w:cs="仿宋_GB2312"/>
          <w:sz w:val="32"/>
          <w:szCs w:val="32"/>
          <w:highlight w:val="none"/>
        </w:rPr>
        <w:t>万元、其他资本性支出</w:t>
      </w:r>
      <w:r>
        <w:rPr>
          <w:rFonts w:hint="eastAsia" w:ascii="仿宋_GB2312" w:hAnsi="宋体" w:eastAsia="仿宋_GB2312" w:cs="仿宋_GB2312"/>
          <w:sz w:val="32"/>
          <w:szCs w:val="32"/>
          <w:highlight w:val="none"/>
          <w:lang w:val="en-US" w:eastAsia="zh-CN"/>
        </w:rPr>
        <w:t>10</w:t>
      </w:r>
      <w:r>
        <w:rPr>
          <w:rFonts w:hint="eastAsia" w:ascii="仿宋_GB2312" w:hAnsi="宋体" w:eastAsia="仿宋_GB2312" w:cs="仿宋_GB2312"/>
          <w:sz w:val="32"/>
          <w:szCs w:val="32"/>
          <w:highlight w:val="none"/>
        </w:rPr>
        <w:t>万元；项目支出</w:t>
      </w:r>
      <w:r>
        <w:rPr>
          <w:rFonts w:hint="eastAsia" w:ascii="仿宋_GB2312" w:hAnsi="宋体" w:eastAsia="仿宋_GB2312" w:cs="仿宋_GB2312"/>
          <w:sz w:val="32"/>
          <w:szCs w:val="32"/>
          <w:highlight w:val="none"/>
          <w:lang w:val="en-US" w:eastAsia="zh-CN"/>
        </w:rPr>
        <w:t>36.1</w:t>
      </w:r>
      <w:r>
        <w:rPr>
          <w:rFonts w:hint="eastAsia" w:ascii="仿宋_GB2312" w:hAnsi="宋体" w:eastAsia="仿宋_GB2312" w:cs="仿宋_GB2312"/>
          <w:sz w:val="32"/>
          <w:szCs w:val="32"/>
          <w:highlight w:val="none"/>
        </w:rPr>
        <w:t>万元，占支出总额的</w:t>
      </w:r>
      <w:r>
        <w:rPr>
          <w:rFonts w:hint="eastAsia" w:ascii="仿宋_GB2312" w:hAnsi="宋体" w:eastAsia="仿宋_GB2312" w:cs="仿宋_GB2312"/>
          <w:sz w:val="32"/>
          <w:szCs w:val="32"/>
          <w:highlight w:val="none"/>
          <w:lang w:val="en-US" w:eastAsia="zh-CN"/>
        </w:rPr>
        <w:t>3.3</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，包括商品和服务支出</w:t>
      </w:r>
      <w:r>
        <w:rPr>
          <w:rFonts w:hint="eastAsia" w:ascii="仿宋_GB2312" w:hAnsi="宋体" w:eastAsia="仿宋_GB2312" w:cs="仿宋_GB2312"/>
          <w:sz w:val="32"/>
          <w:szCs w:val="32"/>
          <w:highlight w:val="none"/>
          <w:lang w:val="en-US" w:eastAsia="zh-CN"/>
        </w:rPr>
        <w:t>36.1</w:t>
      </w:r>
      <w:r>
        <w:rPr>
          <w:rFonts w:hint="eastAsia" w:ascii="仿宋_GB2312" w:hAnsi="宋体" w:eastAsia="仿宋_GB2312" w:cs="仿宋_GB2312"/>
          <w:sz w:val="32"/>
          <w:szCs w:val="32"/>
          <w:highlight w:val="none"/>
        </w:rPr>
        <w:t>万元</w:t>
      </w:r>
      <w:r>
        <w:rPr>
          <w:rFonts w:hint="eastAsia" w:ascii="仿宋_GB2312" w:hAnsi="宋体" w:eastAsia="仿宋_GB2312" w:cs="仿宋_GB2312"/>
          <w:sz w:val="32"/>
          <w:szCs w:val="32"/>
          <w:highlight w:val="none"/>
          <w:lang w:eastAsia="zh-CN"/>
        </w:rPr>
        <w:t>。</w:t>
      </w:r>
    </w:p>
    <w:p>
      <w:pPr>
        <w:ind w:firstLine="640" w:firstLineChars="200"/>
        <w:rPr>
          <w:rFonts w:hint="default" w:ascii="仿宋_GB2312" w:hAnsi="宋体" w:eastAsia="仿宋_GB2312" w:cs="仿宋_GB2312"/>
          <w:sz w:val="32"/>
          <w:szCs w:val="32"/>
          <w:highlight w:val="none"/>
          <w:lang w:val="en-US"/>
        </w:rPr>
      </w:pPr>
      <w:r>
        <w:rPr>
          <w:rFonts w:hint="eastAsia" w:ascii="仿宋_GB2312" w:hAnsi="宋体" w:eastAsia="仿宋_GB2312" w:cs="仿宋_GB2312"/>
          <w:sz w:val="32"/>
          <w:szCs w:val="32"/>
          <w:highlight w:val="none"/>
        </w:rPr>
        <w:t>其中：按支出功能项目科目划分</w:t>
      </w:r>
      <w:r>
        <w:rPr>
          <w:rFonts w:hint="eastAsia" w:ascii="仿宋_GB2312" w:hAnsi="宋体" w:eastAsia="仿宋_GB2312" w:cs="仿宋_GB2312"/>
          <w:sz w:val="32"/>
          <w:szCs w:val="32"/>
          <w:highlight w:val="none"/>
          <w:lang w:eastAsia="zh-CN"/>
        </w:rPr>
        <w:t>：</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社会保障和就业支出101.95万元，占预算总额的9.46%，卫生健康支出45.98万元，占预算总额的4.2%，农林水支出862.84万元，占预算总额的80%，住房保障支出6万元，占预算总额的6.2%。</w:t>
      </w:r>
    </w:p>
    <w:p>
      <w:pPr>
        <w:ind w:firstLine="640" w:firstLineChars="200"/>
        <w:rPr>
          <w:rFonts w:hint="eastAsia" w:ascii="仿宋_GB2312" w:hAnsi="宋体" w:eastAsia="仿宋_GB2312" w:cs="仿宋_GB2312"/>
          <w:sz w:val="32"/>
          <w:szCs w:val="32"/>
          <w:highlight w:val="none"/>
          <w:lang w:eastAsia="zh-CN"/>
        </w:rPr>
      </w:pPr>
      <w:r>
        <w:rPr>
          <w:rFonts w:hint="eastAsia" w:ascii="仿宋_GB2312" w:hAnsi="宋体" w:eastAsia="仿宋_GB2312" w:cs="仿宋_GB2312"/>
          <w:sz w:val="32"/>
          <w:szCs w:val="32"/>
          <w:highlight w:val="none"/>
        </w:rPr>
        <w:t>按支出经济分类划分：工资福利支出</w:t>
      </w:r>
      <w:r>
        <w:rPr>
          <w:rFonts w:hint="eastAsia" w:ascii="仿宋_GB2312" w:hAnsi="宋体" w:eastAsia="仿宋_GB2312" w:cs="仿宋_GB2312"/>
          <w:sz w:val="32"/>
          <w:szCs w:val="32"/>
          <w:highlight w:val="none"/>
          <w:lang w:val="en-US" w:eastAsia="zh-CN"/>
        </w:rPr>
        <w:t>946.68</w:t>
      </w:r>
      <w:r>
        <w:rPr>
          <w:rFonts w:hint="eastAsia" w:ascii="仿宋_GB2312" w:hAnsi="宋体" w:eastAsia="仿宋_GB2312" w:cs="仿宋_GB2312"/>
          <w:sz w:val="32"/>
          <w:szCs w:val="32"/>
          <w:highlight w:val="none"/>
        </w:rPr>
        <w:t>万元，占支出预算总额的</w:t>
      </w:r>
      <w:r>
        <w:rPr>
          <w:rFonts w:hint="eastAsia" w:ascii="仿宋_GB2312" w:hAnsi="宋体" w:eastAsia="仿宋_GB2312" w:cs="仿宋_GB2312"/>
          <w:sz w:val="32"/>
          <w:szCs w:val="32"/>
          <w:highlight w:val="none"/>
          <w:lang w:val="en-US" w:eastAsia="zh-CN"/>
        </w:rPr>
        <w:t>87.8</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；商品和服务支出</w:t>
      </w:r>
      <w:r>
        <w:rPr>
          <w:rFonts w:hint="eastAsia" w:ascii="仿宋_GB2312" w:hAnsi="宋体" w:eastAsia="仿宋_GB2312" w:cs="仿宋_GB2312"/>
          <w:sz w:val="32"/>
          <w:szCs w:val="32"/>
          <w:highlight w:val="none"/>
          <w:lang w:val="en-US" w:eastAsia="zh-CN"/>
        </w:rPr>
        <w:t>131.02</w:t>
      </w:r>
      <w:r>
        <w:rPr>
          <w:rFonts w:hint="eastAsia" w:ascii="仿宋_GB2312" w:hAnsi="宋体" w:eastAsia="仿宋_GB2312" w:cs="仿宋_GB2312"/>
          <w:sz w:val="32"/>
          <w:szCs w:val="32"/>
          <w:highlight w:val="none"/>
        </w:rPr>
        <w:t>万元，占支出预算总额的</w:t>
      </w:r>
      <w:r>
        <w:rPr>
          <w:rFonts w:hint="eastAsia" w:ascii="仿宋_GB2312" w:hAnsi="宋体" w:eastAsia="仿宋_GB2312" w:cs="仿宋_GB2312"/>
          <w:sz w:val="32"/>
          <w:szCs w:val="32"/>
          <w:highlight w:val="none"/>
          <w:lang w:val="en-US" w:eastAsia="zh-CN"/>
        </w:rPr>
        <w:t>12.2</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eastAsia="zh-CN"/>
        </w:rPr>
        <w:t>。</w:t>
      </w:r>
    </w:p>
    <w:p>
      <w:pPr>
        <w:numPr>
          <w:ilvl w:val="0"/>
          <w:numId w:val="0"/>
        </w:numPr>
        <w:ind w:leftChars="200"/>
        <w:rPr>
          <w:rFonts w:hint="eastAsia" w:ascii="仿宋_GB2312" w:eastAsia="仿宋_GB2312"/>
          <w:b/>
          <w:color w:val="000000"/>
          <w:sz w:val="32"/>
          <w:szCs w:val="30"/>
          <w:highlight w:val="none"/>
          <w:lang w:eastAsia="zh-CN"/>
        </w:rPr>
      </w:pPr>
      <w:r>
        <w:rPr>
          <w:rFonts w:hint="eastAsia" w:ascii="仿宋_GB2312" w:eastAsia="仿宋_GB2312"/>
          <w:b/>
          <w:color w:val="000000"/>
          <w:sz w:val="32"/>
          <w:szCs w:val="30"/>
          <w:highlight w:val="none"/>
          <w:lang w:eastAsia="zh-CN"/>
        </w:rPr>
        <w:t>（三）</w:t>
      </w:r>
      <w:r>
        <w:rPr>
          <w:rFonts w:hint="eastAsia" w:ascii="仿宋_GB2312" w:eastAsia="仿宋_GB2312"/>
          <w:b/>
          <w:color w:val="000000"/>
          <w:sz w:val="32"/>
          <w:szCs w:val="30"/>
          <w:highlight w:val="none"/>
        </w:rPr>
        <w:t>财政拨款支出情况</w:t>
      </w:r>
      <w:r>
        <w:rPr>
          <w:rFonts w:hint="eastAsia" w:ascii="仿宋_GB2312" w:eastAsia="仿宋_GB2312"/>
          <w:b/>
          <w:color w:val="000000"/>
          <w:sz w:val="32"/>
          <w:szCs w:val="30"/>
          <w:highlight w:val="none"/>
          <w:lang w:eastAsia="zh-CN"/>
        </w:rPr>
        <w:t>：</w:t>
      </w:r>
    </w:p>
    <w:p>
      <w:pPr>
        <w:ind w:firstLine="640" w:firstLineChars="200"/>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 xml:space="preserve"> 2022年景德镇市农业科学研究所财政拨款支出预算总额为590.4万元，占总预算支出的54.78%，与上年预算相比增加48.14万元，同比增加8.9%，原因是单位合并，导致需要预算的支出增加。按</w:t>
      </w:r>
      <w:r>
        <w:rPr>
          <w:rFonts w:hint="eastAsia" w:ascii="仿宋_GB2312" w:hAnsi="宋体" w:eastAsia="仿宋_GB2312" w:cs="仿宋_GB2312"/>
          <w:sz w:val="32"/>
          <w:szCs w:val="32"/>
          <w:highlight w:val="none"/>
        </w:rPr>
        <w:t>支出功能分类</w:t>
      </w:r>
      <w:r>
        <w:rPr>
          <w:rFonts w:hint="eastAsia" w:ascii="仿宋_GB2312" w:hAnsi="宋体" w:eastAsia="仿宋_GB2312" w:cs="仿宋_GB2312"/>
          <w:sz w:val="32"/>
          <w:szCs w:val="32"/>
          <w:highlight w:val="none"/>
          <w:lang w:val="en-US" w:eastAsia="zh-CN"/>
        </w:rPr>
        <w:t>划分：社会保障和就业支出73.73万元，占财政拨款支出的12.5%，卫生健康支出41.19万元，占财政拨款支出的7%，农林水支出438.62万元，占财政拨款支出的74.2%，住房保障支出36.86万元，占财政拨款支出的6.2%。</w:t>
      </w:r>
    </w:p>
    <w:p>
      <w:pPr>
        <w:ind w:firstLine="640" w:firstLineChars="200"/>
        <w:rPr>
          <w:highlight w:val="yellow"/>
        </w:rPr>
      </w:pPr>
      <w:r>
        <w:rPr>
          <w:rStyle w:val="13"/>
          <w:rFonts w:hint="eastAsia" w:ascii="仿宋" w:hAnsi="仿宋" w:eastAsia="仿宋"/>
          <w:sz w:val="32"/>
          <w:szCs w:val="32"/>
          <w:highlight w:val="none"/>
        </w:rPr>
        <w:t>按支出项目类别划分：</w:t>
      </w:r>
      <w:r>
        <w:rPr>
          <w:rStyle w:val="13"/>
          <w:rFonts w:ascii="仿宋" w:hAnsi="仿宋" w:eastAsia="仿宋"/>
          <w:sz w:val="32"/>
          <w:szCs w:val="32"/>
          <w:highlight w:val="none"/>
        </w:rPr>
        <w:t xml:space="preserve"> </w:t>
      </w:r>
      <w:r>
        <w:rPr>
          <w:rStyle w:val="13"/>
          <w:rFonts w:ascii="仿宋" w:hAnsi="仿宋" w:eastAsia="仿宋"/>
          <w:sz w:val="32"/>
          <w:szCs w:val="32"/>
          <w:highlight w:val="none"/>
        </w:rPr>
        <w:fldChar w:fldCharType="begin"/>
      </w:r>
      <w:r>
        <w:rPr>
          <w:rStyle w:val="13"/>
          <w:rFonts w:ascii="仿宋" w:hAnsi="仿宋" w:eastAsia="仿宋"/>
          <w:sz w:val="32"/>
          <w:szCs w:val="32"/>
          <w:highlight w:val="none"/>
        </w:rPr>
        <w:instrText xml:space="preserve">MERGEFIELD ${page540426799.ds357974894_REP_BGT_T_HC1100002019_DXQ02DW_JBZCQKCB}</w:instrText>
      </w:r>
      <w:r>
        <w:rPr>
          <w:rStyle w:val="13"/>
          <w:rFonts w:ascii="仿宋" w:hAnsi="仿宋" w:eastAsia="仿宋"/>
          <w:sz w:val="32"/>
          <w:szCs w:val="32"/>
          <w:highlight w:val="none"/>
        </w:rPr>
        <w:fldChar w:fldCharType="separate"/>
      </w:r>
      <w:r>
        <w:rPr>
          <w:rStyle w:val="13"/>
          <w:rFonts w:ascii="仿宋" w:hAnsi="仿宋" w:eastAsia="仿宋"/>
          <w:sz w:val="32"/>
          <w:szCs w:val="32"/>
          <w:highlight w:val="none"/>
        </w:rPr>
        <w:t>基本支出</w:t>
      </w:r>
      <w:r>
        <w:rPr>
          <w:rFonts w:hint="eastAsia" w:ascii="仿宋_GB2312" w:eastAsia="仿宋_GB2312"/>
          <w:sz w:val="32"/>
          <w:szCs w:val="30"/>
          <w:highlight w:val="none"/>
          <w:u w:val="single"/>
          <w:lang w:val="en-US" w:eastAsia="zh-CN"/>
        </w:rPr>
        <w:t>736.01</w:t>
      </w:r>
      <w:r>
        <w:rPr>
          <w:rStyle w:val="13"/>
          <w:rFonts w:ascii="仿宋" w:hAnsi="仿宋" w:eastAsia="仿宋"/>
          <w:sz w:val="32"/>
          <w:szCs w:val="32"/>
          <w:highlight w:val="none"/>
        </w:rPr>
        <w:t>万元,较上年预算安排增加</w:t>
      </w:r>
      <w:r>
        <w:rPr>
          <w:rStyle w:val="13"/>
          <w:rFonts w:hint="eastAsia" w:ascii="仿宋" w:hAnsi="仿宋" w:eastAsia="仿宋"/>
          <w:sz w:val="32"/>
          <w:szCs w:val="32"/>
          <w:highlight w:val="none"/>
        </w:rPr>
        <w:t>345.34</w:t>
      </w:r>
      <w:r>
        <w:rPr>
          <w:rStyle w:val="13"/>
          <w:rFonts w:ascii="仿宋" w:hAnsi="仿宋" w:eastAsia="仿宋"/>
          <w:sz w:val="32"/>
          <w:szCs w:val="32"/>
          <w:highlight w:val="none"/>
        </w:rPr>
        <w:t>万元;其中：工资福利支出</w:t>
      </w:r>
      <w:r>
        <w:rPr>
          <w:rFonts w:hint="eastAsia" w:ascii="仿宋_GB2312" w:eastAsia="仿宋_GB2312"/>
          <w:sz w:val="32"/>
          <w:szCs w:val="30"/>
          <w:highlight w:val="none"/>
          <w:u w:val="single"/>
          <w:lang w:val="en-US" w:eastAsia="zh-CN"/>
        </w:rPr>
        <w:t>566.29</w:t>
      </w:r>
      <w:r>
        <w:rPr>
          <w:rStyle w:val="13"/>
          <w:rFonts w:ascii="仿宋" w:hAnsi="仿宋" w:eastAsia="仿宋"/>
          <w:sz w:val="32"/>
          <w:szCs w:val="32"/>
          <w:highlight w:val="none"/>
        </w:rPr>
        <w:t>万元,商品和服务支出</w:t>
      </w:r>
      <w:r>
        <w:rPr>
          <w:rFonts w:hint="eastAsia" w:ascii="仿宋_GB2312" w:eastAsia="仿宋_GB2312"/>
          <w:sz w:val="32"/>
          <w:szCs w:val="30"/>
          <w:highlight w:val="none"/>
          <w:u w:val="single"/>
          <w:lang w:val="en-US" w:eastAsia="zh-CN"/>
        </w:rPr>
        <w:t>103.69</w:t>
      </w:r>
      <w:r>
        <w:rPr>
          <w:rStyle w:val="13"/>
          <w:rFonts w:ascii="仿宋" w:hAnsi="仿宋" w:eastAsia="仿宋"/>
          <w:sz w:val="32"/>
          <w:szCs w:val="32"/>
          <w:highlight w:val="none"/>
        </w:rPr>
        <w:t>万元,对个人和家庭的补助</w:t>
      </w:r>
      <w:r>
        <w:rPr>
          <w:rStyle w:val="13"/>
          <w:rFonts w:hint="eastAsia" w:ascii="仿宋" w:hAnsi="仿宋" w:eastAsia="仿宋"/>
          <w:sz w:val="32"/>
          <w:szCs w:val="32"/>
          <w:highlight w:val="none"/>
          <w:lang w:val="en-US" w:eastAsia="zh-CN"/>
        </w:rPr>
        <w:t>31.03</w:t>
      </w:r>
      <w:r>
        <w:rPr>
          <w:rStyle w:val="13"/>
          <w:rFonts w:ascii="仿宋" w:hAnsi="仿宋" w:eastAsia="仿宋"/>
          <w:sz w:val="32"/>
          <w:szCs w:val="32"/>
          <w:highlight w:val="none"/>
        </w:rPr>
        <w:t>万元。</w:t>
      </w:r>
      <w:r>
        <w:rPr>
          <w:highlight w:val="none"/>
        </w:rPr>
        <w:fldChar w:fldCharType="end"/>
      </w:r>
      <w:r>
        <w:rPr>
          <w:rStyle w:val="13"/>
          <w:rFonts w:ascii="仿宋" w:hAnsi="仿宋" w:eastAsia="仿宋"/>
          <w:sz w:val="32"/>
          <w:szCs w:val="32"/>
          <w:highlight w:val="none"/>
        </w:rPr>
        <w:fldChar w:fldCharType="begin"/>
      </w:r>
      <w:r>
        <w:rPr>
          <w:rStyle w:val="13"/>
          <w:rFonts w:ascii="仿宋" w:hAnsi="仿宋" w:eastAsia="仿宋"/>
          <w:sz w:val="32"/>
          <w:szCs w:val="32"/>
          <w:highlight w:val="none"/>
        </w:rPr>
        <w:instrText xml:space="preserve">MERGEFIELD ${page540426799.ds357974894_REP_BGT_T_HC1100002019_DXQ02DW_XMZCQKCB}</w:instrText>
      </w:r>
      <w:r>
        <w:rPr>
          <w:rStyle w:val="13"/>
          <w:rFonts w:ascii="仿宋" w:hAnsi="仿宋" w:eastAsia="仿宋"/>
          <w:sz w:val="32"/>
          <w:szCs w:val="32"/>
          <w:highlight w:val="none"/>
        </w:rPr>
        <w:fldChar w:fldCharType="separate"/>
      </w:r>
      <w:r>
        <w:rPr>
          <w:rStyle w:val="13"/>
          <w:rFonts w:ascii="仿宋" w:hAnsi="仿宋" w:eastAsia="仿宋"/>
          <w:sz w:val="32"/>
          <w:szCs w:val="32"/>
          <w:highlight w:val="none"/>
        </w:rPr>
        <w:t>项目支出</w:t>
      </w:r>
      <w:r>
        <w:rPr>
          <w:rFonts w:hint="eastAsia" w:ascii="仿宋_GB2312" w:eastAsia="仿宋_GB2312"/>
          <w:sz w:val="32"/>
          <w:szCs w:val="30"/>
          <w:highlight w:val="none"/>
          <w:u w:val="single"/>
          <w:lang w:val="en-US" w:eastAsia="zh-CN"/>
        </w:rPr>
        <w:t>36.1</w:t>
      </w:r>
      <w:r>
        <w:rPr>
          <w:rStyle w:val="13"/>
          <w:rFonts w:ascii="仿宋" w:hAnsi="仿宋" w:eastAsia="仿宋"/>
          <w:sz w:val="32"/>
          <w:szCs w:val="32"/>
          <w:highlight w:val="none"/>
        </w:rPr>
        <w:t>万元,较上年预算安排增加</w:t>
      </w:r>
      <w:r>
        <w:rPr>
          <w:rStyle w:val="13"/>
          <w:rFonts w:hint="eastAsia" w:ascii="仿宋" w:hAnsi="仿宋" w:eastAsia="仿宋"/>
          <w:sz w:val="32"/>
          <w:szCs w:val="32"/>
          <w:highlight w:val="none"/>
          <w:lang w:val="en-US" w:eastAsia="zh-CN"/>
        </w:rPr>
        <w:t>26.2</w:t>
      </w:r>
      <w:r>
        <w:rPr>
          <w:rStyle w:val="13"/>
          <w:rFonts w:ascii="仿宋" w:hAnsi="仿宋" w:eastAsia="仿宋"/>
          <w:sz w:val="32"/>
          <w:szCs w:val="32"/>
          <w:highlight w:val="none"/>
        </w:rPr>
        <w:t>万元;其中：商品和服务支出</w:t>
      </w:r>
      <w:r>
        <w:rPr>
          <w:rFonts w:hint="eastAsia" w:ascii="仿宋_GB2312" w:eastAsia="仿宋_GB2312"/>
          <w:sz w:val="32"/>
          <w:szCs w:val="30"/>
          <w:highlight w:val="none"/>
          <w:u w:val="single"/>
          <w:lang w:val="en-US" w:eastAsia="zh-CN"/>
        </w:rPr>
        <w:t>36.1</w:t>
      </w:r>
      <w:r>
        <w:rPr>
          <w:rStyle w:val="13"/>
          <w:rFonts w:ascii="仿宋" w:hAnsi="仿宋" w:eastAsia="仿宋"/>
          <w:sz w:val="32"/>
          <w:szCs w:val="32"/>
          <w:highlight w:val="none"/>
        </w:rPr>
        <w:t>万元,资本性支出</w:t>
      </w:r>
      <w:r>
        <w:rPr>
          <w:rFonts w:hint="eastAsia" w:ascii="仿宋_GB2312" w:eastAsia="仿宋_GB2312"/>
          <w:sz w:val="32"/>
          <w:szCs w:val="30"/>
          <w:highlight w:val="none"/>
          <w:u w:val="single"/>
        </w:rPr>
        <w:t xml:space="preserve">   </w:t>
      </w:r>
      <w:r>
        <w:rPr>
          <w:rFonts w:hint="eastAsia" w:ascii="仿宋_GB2312" w:eastAsia="仿宋_GB2312"/>
          <w:sz w:val="32"/>
          <w:szCs w:val="30"/>
          <w:highlight w:val="none"/>
          <w:u w:val="single"/>
          <w:lang w:val="en-US" w:eastAsia="zh-CN"/>
        </w:rPr>
        <w:t>0</w:t>
      </w:r>
      <w:r>
        <w:rPr>
          <w:rStyle w:val="13"/>
          <w:rFonts w:ascii="仿宋" w:hAnsi="仿宋" w:eastAsia="仿宋"/>
          <w:sz w:val="32"/>
          <w:szCs w:val="32"/>
          <w:highlight w:val="none"/>
        </w:rPr>
        <w:t>万元。</w:t>
      </w:r>
      <w:r>
        <w:rPr>
          <w:highlight w:val="none"/>
        </w:rPr>
        <w:fldChar w:fldCharType="end"/>
      </w:r>
    </w:p>
    <w:p>
      <w:pPr>
        <w:ind w:firstLine="642" w:firstLineChars="2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(四)政府性基金情况</w:t>
      </w:r>
    </w:p>
    <w:p>
      <w:pPr>
        <w:ind w:firstLine="640" w:firstLineChars="200"/>
        <w:rPr>
          <w:rStyle w:val="13"/>
          <w:rFonts w:hint="eastAsia" w:ascii="仿宋" w:hAnsi="仿宋" w:eastAsia="仿宋"/>
          <w:b w:val="0"/>
          <w:bCs/>
          <w:sz w:val="32"/>
          <w:szCs w:val="32"/>
          <w:lang w:eastAsia="zh-CN"/>
        </w:rPr>
      </w:pPr>
      <w:r>
        <w:rPr>
          <w:rStyle w:val="13"/>
          <w:rFonts w:hint="eastAsia" w:ascii="仿宋" w:hAnsi="仿宋" w:eastAsia="仿宋"/>
          <w:b w:val="0"/>
          <w:bCs/>
          <w:sz w:val="32"/>
          <w:szCs w:val="32"/>
        </w:rPr>
        <w:t>本单位没有使用政府性基金预算拨款安排的支出</w:t>
      </w:r>
      <w:r>
        <w:rPr>
          <w:rStyle w:val="13"/>
          <w:rFonts w:hint="eastAsia" w:ascii="仿宋" w:hAnsi="仿宋" w:eastAsia="仿宋"/>
          <w:b w:val="0"/>
          <w:bCs/>
          <w:sz w:val="32"/>
          <w:szCs w:val="32"/>
          <w:lang w:eastAsia="zh-CN"/>
        </w:rPr>
        <w:t>。</w:t>
      </w:r>
    </w:p>
    <w:p>
      <w:pPr>
        <w:ind w:firstLine="321" w:firstLineChars="1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（五）国有资本经营情况</w:t>
      </w:r>
    </w:p>
    <w:p>
      <w:pPr>
        <w:ind w:firstLine="640" w:firstLineChars="200"/>
        <w:rPr>
          <w:rStyle w:val="13"/>
          <w:rFonts w:hint="eastAsia" w:ascii="仿宋" w:hAnsi="仿宋" w:eastAsia="仿宋"/>
          <w:b w:val="0"/>
          <w:bCs/>
          <w:sz w:val="32"/>
          <w:szCs w:val="32"/>
          <w:lang w:val="en-US" w:eastAsia="zh-CN"/>
        </w:rPr>
      </w:pPr>
      <w:r>
        <w:rPr>
          <w:rStyle w:val="13"/>
          <w:rFonts w:hint="eastAsia" w:ascii="仿宋" w:hAnsi="仿宋" w:eastAsia="仿宋"/>
          <w:b w:val="0"/>
          <w:bCs/>
          <w:sz w:val="32"/>
          <w:szCs w:val="32"/>
        </w:rPr>
        <w:t>本单位没有使用国有资本经营预算拨款安排的支出</w:t>
      </w:r>
      <w:r>
        <w:rPr>
          <w:rStyle w:val="13"/>
          <w:rFonts w:hint="eastAsia" w:ascii="仿宋" w:hAnsi="仿宋" w:eastAsia="仿宋"/>
          <w:b w:val="0"/>
          <w:bCs/>
          <w:sz w:val="32"/>
          <w:szCs w:val="32"/>
          <w:lang w:eastAsia="zh-CN"/>
        </w:rPr>
        <w:t>。</w:t>
      </w:r>
    </w:p>
    <w:p>
      <w:pPr>
        <w:numPr>
          <w:ilvl w:val="0"/>
          <w:numId w:val="0"/>
        </w:numPr>
        <w:ind w:left="630" w:leftChars="0"/>
        <w:rPr>
          <w:rFonts w:hint="eastAsia" w:ascii="仿宋_GB2312" w:hAnsi="宋体" w:eastAsia="仿宋_GB2312" w:cs="仿宋_GB2312"/>
          <w:b/>
          <w:bCs/>
          <w:sz w:val="32"/>
          <w:szCs w:val="32"/>
          <w:highlight w:val="none"/>
        </w:rPr>
      </w:pPr>
      <w:r>
        <w:rPr>
          <w:rFonts w:hint="eastAsia" w:ascii="仿宋_GB2312" w:hAnsi="宋体" w:eastAsia="仿宋_GB2312" w:cs="仿宋_GB2312"/>
          <w:b/>
          <w:bCs/>
          <w:sz w:val="32"/>
          <w:szCs w:val="32"/>
          <w:highlight w:val="none"/>
          <w:lang w:eastAsia="zh-CN"/>
        </w:rPr>
        <w:t>（六）</w:t>
      </w:r>
      <w:r>
        <w:rPr>
          <w:rFonts w:hint="eastAsia" w:ascii="仿宋_GB2312" w:hAnsi="宋体" w:eastAsia="仿宋_GB2312" w:cs="仿宋_GB2312"/>
          <w:b/>
          <w:bCs/>
          <w:sz w:val="32"/>
          <w:szCs w:val="32"/>
          <w:highlight w:val="none"/>
        </w:rPr>
        <w:t>机关运行经费安排情况</w:t>
      </w:r>
    </w:p>
    <w:p>
      <w:pPr>
        <w:numPr>
          <w:ilvl w:val="0"/>
          <w:numId w:val="0"/>
        </w:numPr>
        <w:ind w:firstLine="640" w:firstLineChars="200"/>
        <w:rPr>
          <w:rStyle w:val="13"/>
          <w:rFonts w:hint="eastAsia" w:ascii="Adobe 仿宋 Std R" w:hAnsi="Adobe 仿宋 Std R" w:eastAsia="Adobe 仿宋 Std R"/>
          <w:b w:val="0"/>
          <w:bCs/>
          <w:sz w:val="32"/>
          <w:szCs w:val="32"/>
          <w:lang w:eastAsia="zh-CN"/>
        </w:rPr>
      </w:pPr>
      <w:r>
        <w:rPr>
          <w:rStyle w:val="13"/>
          <w:rFonts w:hint="eastAsia" w:ascii="Adobe 仿宋 Std R" w:hAnsi="Adobe 仿宋 Std R" w:eastAsia="Adobe 仿宋 Std R"/>
          <w:b w:val="0"/>
          <w:bCs/>
          <w:sz w:val="32"/>
          <w:szCs w:val="32"/>
        </w:rPr>
        <w:t>本单位非行政参公单位，无机关运行经费</w:t>
      </w:r>
      <w:r>
        <w:rPr>
          <w:rStyle w:val="13"/>
          <w:rFonts w:hint="eastAsia" w:ascii="Adobe 仿宋 Std R" w:hAnsi="Adobe 仿宋 Std R" w:eastAsia="Adobe 仿宋 Std R"/>
          <w:b w:val="0"/>
          <w:bCs/>
          <w:sz w:val="32"/>
          <w:szCs w:val="32"/>
          <w:lang w:eastAsia="zh-CN"/>
        </w:rPr>
        <w:t>。</w:t>
      </w:r>
    </w:p>
    <w:p>
      <w:pPr>
        <w:numPr>
          <w:ilvl w:val="0"/>
          <w:numId w:val="0"/>
        </w:numPr>
        <w:ind w:firstLine="642" w:firstLineChars="200"/>
        <w:rPr>
          <w:rFonts w:ascii="仿宋_GB2312" w:eastAsia="仿宋_GB2312" w:cs="Times New Roman"/>
          <w:b/>
          <w:bCs/>
          <w:sz w:val="32"/>
          <w:szCs w:val="32"/>
          <w:highlight w:val="none"/>
        </w:rPr>
      </w:pPr>
      <w:r>
        <w:rPr>
          <w:rFonts w:hint="eastAsia" w:ascii="仿宋_GB2312" w:hAnsi="宋体" w:eastAsia="仿宋_GB2312" w:cs="仿宋_GB2312"/>
          <w:b/>
          <w:bCs/>
          <w:sz w:val="32"/>
          <w:szCs w:val="32"/>
          <w:highlight w:val="none"/>
          <w:lang w:eastAsia="zh-CN"/>
        </w:rPr>
        <w:t>（七）</w:t>
      </w:r>
      <w:r>
        <w:rPr>
          <w:rFonts w:hint="eastAsia" w:ascii="仿宋_GB2312" w:hAnsi="宋体" w:eastAsia="仿宋_GB2312" w:cs="仿宋_GB2312"/>
          <w:b/>
          <w:bCs/>
          <w:sz w:val="32"/>
          <w:szCs w:val="32"/>
          <w:highlight w:val="none"/>
        </w:rPr>
        <w:t>政府采购预算情况</w:t>
      </w:r>
    </w:p>
    <w:p>
      <w:pPr>
        <w:keepNext w:val="0"/>
        <w:keepLines w:val="0"/>
        <w:pageBreakBefore w:val="0"/>
        <w:widowControl w:val="0"/>
        <w:tabs>
          <w:tab w:val="left" w:pos="1162"/>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rPr>
        <w:t>2022年单位政府采购总额</w:t>
      </w:r>
      <w:r>
        <w:rPr>
          <w:rFonts w:hint="eastAsia" w:ascii="仿宋_GB2312" w:hAnsi="宋体" w:eastAsia="仿宋_GB2312" w:cs="仿宋_GB2312"/>
          <w:sz w:val="32"/>
          <w:szCs w:val="32"/>
          <w:highlight w:val="none"/>
          <w:lang w:eastAsia="zh-CN"/>
        </w:rPr>
        <w:t>为</w:t>
      </w:r>
      <w:r>
        <w:rPr>
          <w:rFonts w:hint="eastAsia" w:ascii="仿宋_GB2312" w:hAnsi="宋体" w:eastAsia="仿宋_GB2312" w:cs="仿宋_GB2312"/>
          <w:sz w:val="32"/>
          <w:szCs w:val="32"/>
          <w:highlight w:val="none"/>
          <w:lang w:val="en-US" w:eastAsia="zh-CN"/>
        </w:rPr>
        <w:t>10万元</w:t>
      </w:r>
      <w:r>
        <w:rPr>
          <w:rFonts w:hint="eastAsia" w:ascii="仿宋_GB2312" w:hAnsi="宋体" w:eastAsia="仿宋_GB2312" w:cs="仿宋_GB2312"/>
          <w:sz w:val="32"/>
          <w:szCs w:val="32"/>
          <w:highlight w:val="none"/>
        </w:rPr>
        <w:t>，其中：采购货物预算</w:t>
      </w:r>
      <w:r>
        <w:rPr>
          <w:rFonts w:hint="eastAsia" w:ascii="仿宋_GB2312" w:hAnsi="宋体" w:eastAsia="仿宋_GB2312" w:cs="仿宋_GB2312"/>
          <w:sz w:val="32"/>
          <w:szCs w:val="32"/>
          <w:highlight w:val="none"/>
          <w:lang w:val="en-US" w:eastAsia="zh-CN"/>
        </w:rPr>
        <w:t>10万元</w:t>
      </w:r>
      <w:r>
        <w:rPr>
          <w:rFonts w:hint="eastAsia" w:ascii="仿宋_GB2312" w:hAnsi="宋体" w:eastAsia="仿宋_GB2312" w:cs="仿宋_GB2312"/>
          <w:sz w:val="32"/>
          <w:szCs w:val="32"/>
          <w:highlight w:val="none"/>
        </w:rPr>
        <w:t>、采购工程预算</w:t>
      </w:r>
      <w:r>
        <w:rPr>
          <w:rFonts w:hint="eastAsia" w:ascii="仿宋_GB2312" w:hAnsi="宋体" w:eastAsia="仿宋_GB2312" w:cs="仿宋_GB2312"/>
          <w:sz w:val="32"/>
          <w:szCs w:val="32"/>
          <w:highlight w:val="none"/>
          <w:lang w:val="en-US" w:eastAsia="zh-CN"/>
        </w:rPr>
        <w:t>0万元</w:t>
      </w:r>
      <w:r>
        <w:rPr>
          <w:rFonts w:hint="eastAsia" w:ascii="仿宋_GB2312" w:hAnsi="宋体" w:eastAsia="仿宋_GB2312" w:cs="仿宋_GB2312"/>
          <w:sz w:val="32"/>
          <w:szCs w:val="32"/>
          <w:highlight w:val="none"/>
        </w:rPr>
        <w:t>、采购服务预算</w:t>
      </w:r>
      <w:r>
        <w:rPr>
          <w:rFonts w:hint="eastAsia" w:ascii="仿宋_GB2312" w:hAnsi="宋体" w:eastAsia="仿宋_GB2312" w:cs="仿宋_GB2312"/>
          <w:sz w:val="32"/>
          <w:szCs w:val="32"/>
          <w:highlight w:val="none"/>
          <w:lang w:val="en-US" w:eastAsia="zh-CN"/>
        </w:rPr>
        <w:t>0万元</w:t>
      </w:r>
      <w:r>
        <w:rPr>
          <w:rFonts w:hint="eastAsia" w:ascii="仿宋_GB2312" w:hAnsi="宋体" w:eastAsia="仿宋_GB2312" w:cs="仿宋_GB2312"/>
          <w:sz w:val="32"/>
          <w:szCs w:val="32"/>
          <w:highlight w:val="none"/>
        </w:rPr>
        <w:t>。比上年增</w:t>
      </w:r>
      <w:r>
        <w:rPr>
          <w:rFonts w:hint="eastAsia" w:ascii="仿宋_GB2312" w:hAnsi="宋体" w:eastAsia="仿宋_GB2312" w:cs="仿宋_GB2312"/>
          <w:sz w:val="32"/>
          <w:szCs w:val="32"/>
          <w:highlight w:val="none"/>
          <w:lang w:val="en-US" w:eastAsia="zh-CN"/>
        </w:rPr>
        <w:t>加2.4</w:t>
      </w:r>
      <w:r>
        <w:rPr>
          <w:rFonts w:hint="eastAsia" w:ascii="仿宋_GB2312" w:hAnsi="宋体" w:eastAsia="仿宋_GB2312" w:cs="仿宋_GB2312"/>
          <w:sz w:val="32"/>
          <w:szCs w:val="32"/>
          <w:highlight w:val="none"/>
        </w:rPr>
        <w:t>万元。</w:t>
      </w:r>
      <w:r>
        <w:rPr>
          <w:rFonts w:hint="eastAsia" w:ascii="仿宋_GB2312" w:hAnsi="宋体" w:eastAsia="仿宋_GB2312" w:cs="仿宋_GB2312"/>
          <w:sz w:val="32"/>
          <w:szCs w:val="32"/>
          <w:highlight w:val="none"/>
          <w:lang w:val="en-US" w:eastAsia="zh-CN"/>
        </w:rPr>
        <w:t>主要原因是</w:t>
      </w:r>
      <w:r>
        <w:rPr>
          <w:rFonts w:hint="eastAsia" w:ascii="仿宋_GB2312" w:eastAsia="仿宋_GB2312" w:cs="仿宋_GB2312"/>
          <w:sz w:val="32"/>
          <w:szCs w:val="32"/>
          <w:highlight w:val="none"/>
          <w:lang w:eastAsia="zh-CN"/>
        </w:rPr>
        <w:t>机构改革合并，需要的资产增加，增加了政府采购预算。</w:t>
      </w:r>
    </w:p>
    <w:p>
      <w:pPr>
        <w:numPr>
          <w:ilvl w:val="0"/>
          <w:numId w:val="0"/>
        </w:numPr>
        <w:ind w:firstLine="642" w:firstLineChars="200"/>
        <w:rPr>
          <w:rFonts w:hint="eastAsia" w:ascii="仿宋_GB2312" w:hAnsi="宋体" w:eastAsia="仿宋_GB2312" w:cs="仿宋_GB2312"/>
          <w:b/>
          <w:bCs/>
          <w:sz w:val="32"/>
          <w:szCs w:val="32"/>
          <w:highlight w:val="none"/>
          <w:lang w:val="en-US" w:eastAsia="zh-CN"/>
        </w:rPr>
      </w:pPr>
      <w:r>
        <w:rPr>
          <w:rFonts w:hint="eastAsia" w:ascii="仿宋_GB2312" w:hAnsi="宋体" w:eastAsia="仿宋_GB2312" w:cs="仿宋_GB2312"/>
          <w:b/>
          <w:bCs/>
          <w:sz w:val="32"/>
          <w:szCs w:val="32"/>
          <w:highlight w:val="none"/>
          <w:lang w:val="en-US" w:eastAsia="zh-CN"/>
        </w:rPr>
        <w:t>（八）国有资产占有使用情况</w:t>
      </w:r>
    </w:p>
    <w:p>
      <w:pPr>
        <w:numPr>
          <w:ilvl w:val="0"/>
          <w:numId w:val="0"/>
        </w:numPr>
        <w:ind w:firstLine="640" w:firstLineChars="200"/>
        <w:rPr>
          <w:rFonts w:hint="eastAsia" w:ascii="仿宋_GB2312" w:hAnsi="宋体" w:eastAsia="仿宋_GB2312" w:cs="仿宋_GB2312"/>
          <w:sz w:val="32"/>
          <w:szCs w:val="32"/>
          <w:highlight w:val="none"/>
        </w:rPr>
      </w:pPr>
      <w:r>
        <w:rPr>
          <w:rFonts w:hint="eastAsia" w:ascii="仿宋_GB2312" w:hAnsi="宋体" w:eastAsia="仿宋_GB2312" w:cs="仿宋_GB2312"/>
          <w:sz w:val="32"/>
          <w:szCs w:val="32"/>
          <w:highlight w:val="none"/>
          <w:lang w:val="en-US" w:eastAsia="zh-CN"/>
        </w:rPr>
        <w:t>2022年</w:t>
      </w:r>
      <w:r>
        <w:rPr>
          <w:rFonts w:hint="eastAsia" w:ascii="仿宋_GB2312" w:hAnsi="宋体" w:eastAsia="仿宋_GB2312" w:cs="仿宋_GB2312"/>
          <w:sz w:val="32"/>
          <w:szCs w:val="32"/>
          <w:highlight w:val="none"/>
        </w:rPr>
        <w:t>农业</w:t>
      </w:r>
      <w:r>
        <w:rPr>
          <w:rFonts w:hint="eastAsia" w:ascii="仿宋_GB2312" w:hAnsi="宋体" w:eastAsia="仿宋_GB2312" w:cs="仿宋_GB2312"/>
          <w:sz w:val="32"/>
          <w:szCs w:val="32"/>
          <w:highlight w:val="none"/>
          <w:lang w:val="en-US" w:eastAsia="zh-CN"/>
        </w:rPr>
        <w:t>科学研究所共有车辆1辆，其中：一般公务用车实有数1辆，执法执勤用车实有数0辆。2022年部门预算安排购置车辆0辆，安排购置单位价值200万元以上大型设备为0。主要原因是没有安排车辆和大型设备购置计划。</w:t>
      </w:r>
    </w:p>
    <w:p>
      <w:pPr>
        <w:numPr>
          <w:ilvl w:val="0"/>
          <w:numId w:val="0"/>
        </w:numPr>
        <w:ind w:left="210" w:leftChars="0" w:firstLine="642" w:firstLineChars="200"/>
        <w:rPr>
          <w:rFonts w:hint="eastAsia" w:ascii="仿宋_GB2312" w:hAnsi="宋体" w:eastAsia="仿宋_GB2312" w:cs="仿宋_GB2312"/>
          <w:b/>
          <w:bCs/>
          <w:sz w:val="32"/>
          <w:szCs w:val="32"/>
          <w:highlight w:val="none"/>
          <w:lang w:eastAsia="zh-CN"/>
        </w:rPr>
      </w:pPr>
      <w:r>
        <w:rPr>
          <w:rFonts w:hint="eastAsia" w:ascii="仿宋_GB2312" w:hAnsi="宋体" w:eastAsia="仿宋_GB2312" w:cs="仿宋_GB2312"/>
          <w:b/>
          <w:bCs/>
          <w:sz w:val="32"/>
          <w:szCs w:val="32"/>
          <w:highlight w:val="none"/>
          <w:lang w:eastAsia="zh-CN"/>
        </w:rPr>
        <w:t>（</w:t>
      </w:r>
      <w:r>
        <w:rPr>
          <w:rFonts w:hint="eastAsia" w:ascii="仿宋_GB2312" w:hAnsi="宋体" w:eastAsia="仿宋_GB2312" w:cs="仿宋_GB2312"/>
          <w:b/>
          <w:bCs/>
          <w:sz w:val="32"/>
          <w:szCs w:val="32"/>
          <w:highlight w:val="none"/>
          <w:lang w:val="en-US" w:eastAsia="zh-CN"/>
        </w:rPr>
        <w:t>九</w:t>
      </w:r>
      <w:r>
        <w:rPr>
          <w:rFonts w:hint="eastAsia" w:ascii="仿宋_GB2312" w:hAnsi="宋体" w:eastAsia="仿宋_GB2312" w:cs="仿宋_GB2312"/>
          <w:b/>
          <w:bCs/>
          <w:sz w:val="32"/>
          <w:szCs w:val="32"/>
          <w:highlight w:val="none"/>
          <w:lang w:eastAsia="zh-CN"/>
        </w:rPr>
        <w:t>）项目情况说明</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eastAsia="zh-CN"/>
        </w:rPr>
        <w:t>一</w:t>
      </w:r>
      <w:r>
        <w:rPr>
          <w:rFonts w:hint="eastAsia" w:ascii="仿宋_GB2312" w:eastAsia="仿宋_GB2312"/>
          <w:color w:val="000000"/>
          <w:sz w:val="32"/>
          <w:szCs w:val="30"/>
          <w:highlight w:val="none"/>
        </w:rPr>
        <w:t>级项目概述</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1.</w:t>
      </w:r>
      <w:r>
        <w:rPr>
          <w:rFonts w:hint="eastAsia" w:ascii="仿宋_GB2312" w:eastAsia="仿宋_GB2312"/>
          <w:color w:val="000000"/>
          <w:sz w:val="32"/>
          <w:szCs w:val="30"/>
          <w:highlight w:val="none"/>
          <w:lang w:eastAsia="zh-CN"/>
        </w:rPr>
        <w:t>生物保鲜技术应用</w:t>
      </w:r>
    </w:p>
    <w:p>
      <w:pPr>
        <w:widowControl/>
        <w:spacing w:line="600" w:lineRule="exact"/>
        <w:ind w:firstLine="640"/>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1</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rPr>
        <w:t>项目概述</w:t>
      </w:r>
    </w:p>
    <w:p>
      <w:pPr>
        <w:widowControl/>
        <w:spacing w:line="600" w:lineRule="exact"/>
        <w:ind w:firstLine="640"/>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eastAsia="zh-CN"/>
        </w:rPr>
        <w:t>①</w:t>
      </w:r>
      <w:r>
        <w:rPr>
          <w:rFonts w:hint="eastAsia" w:ascii="仿宋_GB2312" w:eastAsia="仿宋_GB2312"/>
          <w:color w:val="000000"/>
          <w:sz w:val="32"/>
          <w:szCs w:val="30"/>
          <w:highlight w:val="none"/>
        </w:rPr>
        <w:t>农作物常规种植育种、家禽家畜养殖育种、特种水产养殖技术研究、农产品深加工、良种良法技术研究示范推广等</w:t>
      </w:r>
    </w:p>
    <w:p>
      <w:pPr>
        <w:widowControl/>
        <w:spacing w:line="600" w:lineRule="exact"/>
        <w:ind w:firstLine="640"/>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eastAsia="zh-CN"/>
        </w:rPr>
        <w:t>②</w:t>
      </w:r>
      <w:r>
        <w:rPr>
          <w:rFonts w:hint="eastAsia" w:ascii="仿宋_GB2312" w:eastAsia="仿宋_GB2312"/>
          <w:color w:val="000000"/>
          <w:sz w:val="32"/>
          <w:szCs w:val="30"/>
          <w:highlight w:val="none"/>
        </w:rPr>
        <w:t>农产品（含绿色食品、有机食品、生物食品）深加工技术研究示范推广。为得雨活茶系列产品、景德板鸡系列产品、得雨蔬菜晶等产品生产、开发提供了技术支撑。</w:t>
      </w:r>
    </w:p>
    <w:p>
      <w:pPr>
        <w:widowControl/>
        <w:spacing w:line="600" w:lineRule="exact"/>
        <w:ind w:firstLine="640"/>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eastAsia="zh-CN"/>
        </w:rPr>
        <w:t>③</w:t>
      </w:r>
      <w:r>
        <w:rPr>
          <w:rFonts w:hint="eastAsia" w:ascii="仿宋_GB2312" w:eastAsia="仿宋_GB2312"/>
          <w:color w:val="000000"/>
          <w:sz w:val="32"/>
          <w:szCs w:val="30"/>
          <w:highlight w:val="none"/>
        </w:rPr>
        <w:t>农产品生物保鲜技术研究、示范、推广。绿茶生物保鲜、食用菌、大米等生物保鲜。</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eastAsia="zh-CN"/>
        </w:rPr>
        <w:t>④</w:t>
      </w:r>
      <w:r>
        <w:rPr>
          <w:rFonts w:hint="eastAsia" w:ascii="仿宋_GB2312" w:eastAsia="仿宋_GB2312"/>
          <w:color w:val="000000"/>
          <w:sz w:val="32"/>
          <w:szCs w:val="30"/>
          <w:highlight w:val="none"/>
        </w:rPr>
        <w:t>木本质生物活性物质提取及药物应用研究。</w:t>
      </w:r>
    </w:p>
    <w:p>
      <w:pPr>
        <w:widowControl/>
        <w:numPr>
          <w:ilvl w:val="0"/>
          <w:numId w:val="0"/>
        </w:numPr>
        <w:spacing w:line="600" w:lineRule="exact"/>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eastAsia="zh-CN"/>
        </w:rPr>
        <w:t>　　（</w:t>
      </w:r>
      <w:r>
        <w:rPr>
          <w:rFonts w:hint="eastAsia" w:ascii="仿宋_GB2312" w:eastAsia="仿宋_GB2312"/>
          <w:color w:val="000000"/>
          <w:sz w:val="32"/>
          <w:szCs w:val="30"/>
          <w:highlight w:val="none"/>
          <w:lang w:val="en-US" w:eastAsia="zh-CN"/>
        </w:rPr>
        <w:t>2</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rPr>
        <w:t>实施主体</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景德镇市农业科学研究所</w:t>
      </w:r>
      <w:r>
        <w:rPr>
          <w:rFonts w:hint="eastAsia" w:ascii="仿宋_GB2312" w:eastAsia="仿宋_GB2312"/>
          <w:color w:val="000000"/>
          <w:sz w:val="32"/>
          <w:szCs w:val="30"/>
          <w:highlight w:val="none"/>
        </w:rPr>
        <w:t xml:space="preserve"> </w:t>
      </w:r>
    </w:p>
    <w:p>
      <w:pPr>
        <w:widowControl/>
        <w:numPr>
          <w:ilvl w:val="0"/>
          <w:numId w:val="0"/>
        </w:numPr>
        <w:spacing w:line="600" w:lineRule="exact"/>
        <w:jc w:val="left"/>
        <w:rPr>
          <w:rFonts w:hint="default"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eastAsia="zh-CN"/>
        </w:rPr>
        <w:t>　　（</w:t>
      </w:r>
      <w:r>
        <w:rPr>
          <w:rFonts w:hint="eastAsia" w:ascii="仿宋_GB2312" w:eastAsia="仿宋_GB2312"/>
          <w:color w:val="000000"/>
          <w:sz w:val="32"/>
          <w:szCs w:val="30"/>
          <w:highlight w:val="none"/>
          <w:lang w:val="en-US" w:eastAsia="zh-CN"/>
        </w:rPr>
        <w:t>3）</w:t>
      </w:r>
      <w:r>
        <w:rPr>
          <w:rFonts w:hint="eastAsia" w:ascii="仿宋_GB2312" w:eastAsia="仿宋_GB2312"/>
          <w:color w:val="000000"/>
          <w:sz w:val="32"/>
          <w:szCs w:val="30"/>
          <w:highlight w:val="none"/>
        </w:rPr>
        <w:t>实施周期</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2022年1月-12月</w:t>
      </w:r>
    </w:p>
    <w:p>
      <w:pPr>
        <w:widowControl/>
        <w:spacing w:line="600" w:lineRule="exact"/>
        <w:ind w:firstLine="640"/>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4）</w:t>
      </w:r>
      <w:r>
        <w:rPr>
          <w:rFonts w:hint="eastAsia" w:ascii="仿宋_GB2312" w:eastAsia="仿宋_GB2312"/>
          <w:color w:val="000000"/>
          <w:sz w:val="32"/>
          <w:szCs w:val="30"/>
          <w:highlight w:val="none"/>
        </w:rPr>
        <w:t>年度预算安排</w:t>
      </w:r>
      <w:r>
        <w:rPr>
          <w:rFonts w:hint="eastAsia" w:ascii="仿宋_GB2312" w:eastAsia="仿宋_GB2312"/>
          <w:color w:val="000000"/>
          <w:sz w:val="32"/>
          <w:szCs w:val="30"/>
          <w:highlight w:val="none"/>
          <w:lang w:eastAsia="zh-CN"/>
        </w:rPr>
        <w:t>：财政预算6万元</w:t>
      </w:r>
    </w:p>
    <w:p>
      <w:pPr>
        <w:widowControl/>
        <w:spacing w:line="600" w:lineRule="exact"/>
        <w:ind w:firstLine="640"/>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5）</w:t>
      </w:r>
      <w:r>
        <w:rPr>
          <w:rFonts w:hint="eastAsia" w:ascii="仿宋_GB2312" w:eastAsia="仿宋_GB2312"/>
          <w:color w:val="000000"/>
          <w:sz w:val="32"/>
          <w:szCs w:val="30"/>
          <w:highlight w:val="none"/>
        </w:rPr>
        <w:t>绩效目标和指标</w:t>
      </w:r>
      <w:r>
        <w:rPr>
          <w:rFonts w:hint="eastAsia" w:ascii="仿宋_GB2312" w:eastAsia="仿宋_GB2312"/>
          <w:color w:val="000000"/>
          <w:sz w:val="32"/>
          <w:szCs w:val="30"/>
          <w:highlight w:val="none"/>
          <w:lang w:eastAsia="zh-CN"/>
        </w:rPr>
        <w:t>：</w:t>
      </w:r>
    </w:p>
    <w:tbl>
      <w:tblPr>
        <w:tblStyle w:val="6"/>
        <w:tblW w:w="86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75"/>
        <w:gridCol w:w="958"/>
        <w:gridCol w:w="1917"/>
        <w:gridCol w:w="28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一级指标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二级指标</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三级指标</w:t>
            </w:r>
          </w:p>
        </w:tc>
        <w:tc>
          <w:tcPr>
            <w:tcW w:w="2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年度指标值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8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产出指标</w:t>
            </w: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数量指标</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农生物保鲜技术研究与推广人数增加</w:t>
            </w:r>
          </w:p>
        </w:tc>
        <w:tc>
          <w:tcPr>
            <w:tcW w:w="2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8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农生物保鲜技术研究与推广人数增长率</w:t>
            </w:r>
          </w:p>
        </w:tc>
        <w:tc>
          <w:tcPr>
            <w:tcW w:w="2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8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质量指标</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 是否达到预期目标率</w:t>
            </w:r>
          </w:p>
        </w:tc>
        <w:tc>
          <w:tcPr>
            <w:tcW w:w="2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8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时效指标</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年度完成速率</w:t>
            </w:r>
          </w:p>
        </w:tc>
        <w:tc>
          <w:tcPr>
            <w:tcW w:w="2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8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成本指标</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成本控制在预算内</w:t>
            </w:r>
          </w:p>
        </w:tc>
        <w:tc>
          <w:tcPr>
            <w:tcW w:w="2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8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效益指标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经济效益指标</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食品保鲜技术投入效益</w:t>
            </w:r>
          </w:p>
        </w:tc>
        <w:tc>
          <w:tcPr>
            <w:tcW w:w="2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8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社会效益指标</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农民、企业技术服务满意度提升</w:t>
            </w:r>
          </w:p>
        </w:tc>
        <w:tc>
          <w:tcPr>
            <w:tcW w:w="2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8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生态效益指标</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农民、企业对环境认知程度上升率</w:t>
            </w:r>
          </w:p>
        </w:tc>
        <w:tc>
          <w:tcPr>
            <w:tcW w:w="2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8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可持续影响指标</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项目支出可持续影响</w:t>
            </w:r>
          </w:p>
        </w:tc>
        <w:tc>
          <w:tcPr>
            <w:tcW w:w="2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2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满意度指标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服务对象满意度指标</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企业、群众满意度百分比</w:t>
            </w:r>
          </w:p>
        </w:tc>
        <w:tc>
          <w:tcPr>
            <w:tcW w:w="2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80%</w:t>
            </w:r>
          </w:p>
        </w:tc>
      </w:tr>
    </w:tbl>
    <w:p>
      <w:pPr>
        <w:widowControl/>
        <w:numPr>
          <w:ilvl w:val="0"/>
          <w:numId w:val="2"/>
        </w:numPr>
        <w:spacing w:line="600" w:lineRule="exact"/>
        <w:jc w:val="left"/>
        <w:rPr>
          <w:rFonts w:hint="eastAsia"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茶叶技术推广项目</w:t>
      </w:r>
    </w:p>
    <w:p>
      <w:pPr>
        <w:widowControl/>
        <w:numPr>
          <w:ilvl w:val="0"/>
          <w:numId w:val="0"/>
        </w:numPr>
        <w:spacing w:line="600" w:lineRule="exact"/>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1）</w:t>
      </w:r>
      <w:r>
        <w:rPr>
          <w:rFonts w:hint="eastAsia" w:ascii="仿宋_GB2312" w:eastAsia="仿宋_GB2312"/>
          <w:color w:val="000000"/>
          <w:sz w:val="32"/>
          <w:szCs w:val="30"/>
          <w:highlight w:val="none"/>
        </w:rPr>
        <w:t>项目概述</w:t>
      </w:r>
      <w:r>
        <w:rPr>
          <w:rFonts w:hint="eastAsia" w:ascii="仿宋_GB2312" w:eastAsia="仿宋_GB2312"/>
          <w:color w:val="000000"/>
          <w:sz w:val="32"/>
          <w:szCs w:val="30"/>
          <w:highlight w:val="none"/>
          <w:lang w:eastAsia="zh-CN"/>
        </w:rPr>
        <w:t>：以良种茶苗繁育基地建设为基础，积极推广良种示范和有机茶标准化生产，为实现有机茶“品种多样化、质量标准化、生产区域化、供应基地化、茶树良种化”的目标，进一步扩大生产规模，优化结构，实现茶产业的快速发展。</w:t>
      </w:r>
    </w:p>
    <w:p>
      <w:pPr>
        <w:widowControl/>
        <w:numPr>
          <w:ilvl w:val="0"/>
          <w:numId w:val="0"/>
        </w:numPr>
        <w:spacing w:line="600" w:lineRule="exact"/>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2）</w:t>
      </w:r>
      <w:r>
        <w:rPr>
          <w:rFonts w:hint="eastAsia" w:ascii="仿宋_GB2312" w:eastAsia="仿宋_GB2312"/>
          <w:color w:val="000000"/>
          <w:sz w:val="32"/>
          <w:szCs w:val="30"/>
          <w:highlight w:val="none"/>
        </w:rPr>
        <w:t>实施主体</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景德镇市农业科学研究所</w:t>
      </w:r>
      <w:r>
        <w:rPr>
          <w:rFonts w:hint="eastAsia" w:ascii="仿宋_GB2312" w:eastAsia="仿宋_GB2312"/>
          <w:color w:val="000000"/>
          <w:sz w:val="32"/>
          <w:szCs w:val="30"/>
          <w:highlight w:val="none"/>
        </w:rPr>
        <w:t xml:space="preserve"> </w:t>
      </w:r>
    </w:p>
    <w:p>
      <w:pPr>
        <w:widowControl/>
        <w:numPr>
          <w:ilvl w:val="0"/>
          <w:numId w:val="0"/>
        </w:numPr>
        <w:spacing w:line="600" w:lineRule="exact"/>
        <w:jc w:val="left"/>
        <w:rPr>
          <w:rFonts w:hint="default"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3）</w:t>
      </w:r>
      <w:r>
        <w:rPr>
          <w:rFonts w:hint="eastAsia" w:ascii="仿宋_GB2312" w:eastAsia="仿宋_GB2312"/>
          <w:color w:val="000000"/>
          <w:sz w:val="32"/>
          <w:szCs w:val="30"/>
          <w:highlight w:val="none"/>
        </w:rPr>
        <w:t>实施周期</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2022年1月-12月</w:t>
      </w:r>
    </w:p>
    <w:p>
      <w:pPr>
        <w:widowControl/>
        <w:spacing w:line="600" w:lineRule="exact"/>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4）</w:t>
      </w:r>
      <w:r>
        <w:rPr>
          <w:rFonts w:hint="eastAsia" w:ascii="仿宋_GB2312" w:eastAsia="仿宋_GB2312"/>
          <w:color w:val="000000"/>
          <w:sz w:val="32"/>
          <w:szCs w:val="30"/>
          <w:highlight w:val="none"/>
        </w:rPr>
        <w:t>年度预算安排</w:t>
      </w:r>
      <w:r>
        <w:rPr>
          <w:rFonts w:hint="eastAsia" w:ascii="仿宋_GB2312" w:eastAsia="仿宋_GB2312"/>
          <w:color w:val="000000"/>
          <w:sz w:val="32"/>
          <w:szCs w:val="30"/>
          <w:highlight w:val="none"/>
          <w:lang w:eastAsia="zh-CN"/>
        </w:rPr>
        <w:t>：财政预算5万元</w:t>
      </w:r>
    </w:p>
    <w:p>
      <w:pPr>
        <w:widowControl/>
        <w:numPr>
          <w:ilvl w:val="0"/>
          <w:numId w:val="0"/>
        </w:numPr>
        <w:spacing w:line="600" w:lineRule="exact"/>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5）</w:t>
      </w:r>
      <w:r>
        <w:rPr>
          <w:rFonts w:hint="eastAsia" w:ascii="仿宋_GB2312" w:eastAsia="仿宋_GB2312"/>
          <w:color w:val="000000"/>
          <w:sz w:val="32"/>
          <w:szCs w:val="30"/>
          <w:highlight w:val="none"/>
        </w:rPr>
        <w:t>绩效目标和指标</w:t>
      </w:r>
      <w:r>
        <w:rPr>
          <w:rFonts w:hint="eastAsia" w:ascii="仿宋_GB2312" w:eastAsia="仿宋_GB2312"/>
          <w:color w:val="000000"/>
          <w:sz w:val="32"/>
          <w:szCs w:val="30"/>
          <w:highlight w:val="none"/>
          <w:lang w:eastAsia="zh-CN"/>
        </w:rPr>
        <w:t>：</w:t>
      </w:r>
    </w:p>
    <w:tbl>
      <w:tblPr>
        <w:tblStyle w:val="6"/>
        <w:tblW w:w="86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6"/>
        <w:gridCol w:w="1096"/>
        <w:gridCol w:w="5754"/>
        <w:gridCol w:w="9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一级指标</w:t>
            </w:r>
          </w:p>
        </w:tc>
        <w:tc>
          <w:tcPr>
            <w:tcW w:w="9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二级指标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三级指标</w:t>
            </w:r>
          </w:p>
        </w:tc>
        <w:tc>
          <w:tcPr>
            <w:tcW w:w="9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产出指标</w:t>
            </w:r>
          </w:p>
        </w:tc>
        <w:tc>
          <w:tcPr>
            <w:tcW w:w="0" w:type="auto"/>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数量指标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项目推进计划完成率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5754" w:type="dxa"/>
            <w:vMerge w:val="restar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restart"/>
            <w:tcBorders>
              <w:top w:val="single" w:color="000000" w:sz="4" w:space="0"/>
              <w:left w:val="single" w:color="000000" w:sz="4" w:space="0"/>
              <w:bottom w:val="nil"/>
              <w:right w:val="nil"/>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575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continue"/>
            <w:tcBorders>
              <w:top w:val="single" w:color="000000" w:sz="4" w:space="0"/>
              <w:left w:val="single" w:color="000000" w:sz="4" w:space="0"/>
              <w:bottom w:val="nil"/>
              <w:right w:val="nil"/>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质量指标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节能量验收合格率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5754" w:type="dxa"/>
            <w:vMerge w:val="restar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restart"/>
            <w:tcBorders>
              <w:top w:val="single" w:color="000000" w:sz="4" w:space="0"/>
              <w:left w:val="single" w:color="000000" w:sz="4" w:space="0"/>
              <w:bottom w:val="nil"/>
              <w:right w:val="nil"/>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575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continue"/>
            <w:tcBorders>
              <w:top w:val="single" w:color="000000" w:sz="4" w:space="0"/>
              <w:left w:val="single" w:color="000000" w:sz="4" w:space="0"/>
              <w:bottom w:val="nil"/>
              <w:right w:val="nil"/>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时效指标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项目延误率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成本指标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效益指标</w:t>
            </w: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经济效益指标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试验前后节能费用控制比</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社会效益指标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试验前后节能费用控制比</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生态效益指标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试验节能标准达标率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可持续影响指标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项目可复制性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满意度指标</w:t>
            </w: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服务对象满意度指标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满意度</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bl>
    <w:p>
      <w:pPr>
        <w:widowControl/>
        <w:numPr>
          <w:ilvl w:val="0"/>
          <w:numId w:val="0"/>
        </w:numPr>
        <w:spacing w:line="600" w:lineRule="exact"/>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3.</w:t>
      </w:r>
      <w:r>
        <w:rPr>
          <w:rFonts w:hint="eastAsia" w:ascii="仿宋_GB2312" w:eastAsia="仿宋_GB2312"/>
          <w:color w:val="000000"/>
          <w:sz w:val="32"/>
          <w:szCs w:val="30"/>
          <w:highlight w:val="none"/>
          <w:lang w:eastAsia="zh-CN"/>
        </w:rPr>
        <w:t>水稻良种区试对比试验、示范、推广项目</w:t>
      </w:r>
    </w:p>
    <w:p>
      <w:pPr>
        <w:widowControl/>
        <w:numPr>
          <w:ilvl w:val="0"/>
          <w:numId w:val="0"/>
        </w:numPr>
        <w:spacing w:line="600" w:lineRule="exact"/>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　　（</w:t>
      </w:r>
      <w:r>
        <w:rPr>
          <w:rFonts w:hint="eastAsia" w:ascii="仿宋_GB2312" w:eastAsia="仿宋_GB2312"/>
          <w:color w:val="000000"/>
          <w:sz w:val="32"/>
          <w:szCs w:val="30"/>
          <w:highlight w:val="none"/>
          <w:lang w:val="en-US" w:eastAsia="zh-CN"/>
        </w:rPr>
        <w:t>1）</w:t>
      </w:r>
      <w:r>
        <w:rPr>
          <w:rFonts w:hint="eastAsia" w:ascii="仿宋_GB2312" w:eastAsia="仿宋_GB2312"/>
          <w:color w:val="000000"/>
          <w:sz w:val="32"/>
          <w:szCs w:val="30"/>
          <w:highlight w:val="none"/>
        </w:rPr>
        <w:t>项目概述</w:t>
      </w:r>
      <w:r>
        <w:rPr>
          <w:rFonts w:hint="eastAsia" w:ascii="仿宋_GB2312" w:eastAsia="仿宋_GB2312"/>
          <w:color w:val="000000"/>
          <w:sz w:val="32"/>
          <w:szCs w:val="30"/>
          <w:highlight w:val="none"/>
          <w:lang w:eastAsia="zh-CN"/>
        </w:rPr>
        <w:t>：1、鉴定评价新选育水稻品种在我市的 丰产性、稳定性、适应性、抗性、米质以及其他特征特性表现，为省市种子站水稻品种审定评价提供科学依据；2、通过项目的实施，可精选出适宜景德镇地区种植的高产优质水稻新品种，可提高全市广大农民种植高产、优质水稻栽培新技术的水平。大面积推广的超级稻新品种亩增产45公斤，按年推广超级稻新品种2万亩计算，年总增粮90万公斤，新增效益234万元（按每斤稻谷1.3元计算）</w:t>
      </w:r>
    </w:p>
    <w:p>
      <w:pPr>
        <w:widowControl/>
        <w:numPr>
          <w:ilvl w:val="0"/>
          <w:numId w:val="0"/>
        </w:numPr>
        <w:spacing w:line="600" w:lineRule="exact"/>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eastAsia="zh-CN"/>
        </w:rPr>
        <w:t>　　（</w:t>
      </w:r>
      <w:r>
        <w:rPr>
          <w:rFonts w:hint="eastAsia" w:ascii="仿宋_GB2312" w:eastAsia="仿宋_GB2312"/>
          <w:color w:val="000000"/>
          <w:sz w:val="32"/>
          <w:szCs w:val="30"/>
          <w:highlight w:val="none"/>
          <w:lang w:val="en-US" w:eastAsia="zh-CN"/>
        </w:rPr>
        <w:t>2）</w:t>
      </w:r>
      <w:r>
        <w:rPr>
          <w:rFonts w:hint="eastAsia" w:ascii="仿宋_GB2312" w:eastAsia="仿宋_GB2312"/>
          <w:color w:val="000000"/>
          <w:sz w:val="32"/>
          <w:szCs w:val="30"/>
          <w:highlight w:val="none"/>
        </w:rPr>
        <w:t>实施主体</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景德镇市农业科学研究所</w:t>
      </w:r>
      <w:r>
        <w:rPr>
          <w:rFonts w:hint="eastAsia" w:ascii="仿宋_GB2312" w:eastAsia="仿宋_GB2312"/>
          <w:color w:val="000000"/>
          <w:sz w:val="32"/>
          <w:szCs w:val="30"/>
          <w:highlight w:val="none"/>
        </w:rPr>
        <w:t xml:space="preserve"> </w:t>
      </w:r>
    </w:p>
    <w:p>
      <w:pPr>
        <w:widowControl/>
        <w:numPr>
          <w:ilvl w:val="0"/>
          <w:numId w:val="0"/>
        </w:numPr>
        <w:spacing w:line="600" w:lineRule="exact"/>
        <w:jc w:val="left"/>
        <w:rPr>
          <w:rFonts w:hint="default"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eastAsia="zh-CN"/>
        </w:rPr>
        <w:t>　　（</w:t>
      </w:r>
      <w:r>
        <w:rPr>
          <w:rFonts w:hint="eastAsia" w:ascii="仿宋_GB2312" w:eastAsia="仿宋_GB2312"/>
          <w:color w:val="000000"/>
          <w:sz w:val="32"/>
          <w:szCs w:val="30"/>
          <w:highlight w:val="none"/>
          <w:lang w:val="en-US" w:eastAsia="zh-CN"/>
        </w:rPr>
        <w:t>3）</w:t>
      </w:r>
      <w:r>
        <w:rPr>
          <w:rFonts w:hint="eastAsia" w:ascii="仿宋_GB2312" w:eastAsia="仿宋_GB2312"/>
          <w:color w:val="000000"/>
          <w:sz w:val="32"/>
          <w:szCs w:val="30"/>
          <w:highlight w:val="none"/>
        </w:rPr>
        <w:t>实施周期</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2022年1月-12月</w:t>
      </w:r>
    </w:p>
    <w:p>
      <w:pPr>
        <w:widowControl/>
        <w:spacing w:line="600" w:lineRule="exact"/>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　　（</w:t>
      </w:r>
      <w:r>
        <w:rPr>
          <w:rFonts w:hint="eastAsia" w:ascii="仿宋_GB2312" w:eastAsia="仿宋_GB2312"/>
          <w:color w:val="000000"/>
          <w:sz w:val="32"/>
          <w:szCs w:val="30"/>
          <w:highlight w:val="none"/>
          <w:lang w:val="en-US" w:eastAsia="zh-CN"/>
        </w:rPr>
        <w:t>4）</w:t>
      </w:r>
      <w:r>
        <w:rPr>
          <w:rFonts w:hint="eastAsia" w:ascii="仿宋_GB2312" w:eastAsia="仿宋_GB2312"/>
          <w:color w:val="000000"/>
          <w:sz w:val="32"/>
          <w:szCs w:val="30"/>
          <w:highlight w:val="none"/>
        </w:rPr>
        <w:t>年度预算安排</w:t>
      </w:r>
      <w:r>
        <w:rPr>
          <w:rFonts w:hint="eastAsia" w:ascii="仿宋_GB2312" w:eastAsia="仿宋_GB2312"/>
          <w:color w:val="000000"/>
          <w:sz w:val="32"/>
          <w:szCs w:val="30"/>
          <w:highlight w:val="none"/>
          <w:lang w:eastAsia="zh-CN"/>
        </w:rPr>
        <w:t>：财政预算</w:t>
      </w:r>
      <w:r>
        <w:rPr>
          <w:rFonts w:hint="eastAsia" w:ascii="仿宋_GB2312" w:eastAsia="仿宋_GB2312"/>
          <w:color w:val="000000"/>
          <w:sz w:val="32"/>
          <w:szCs w:val="30"/>
          <w:highlight w:val="none"/>
          <w:lang w:val="en-US" w:eastAsia="zh-CN"/>
        </w:rPr>
        <w:t>15</w:t>
      </w:r>
      <w:r>
        <w:rPr>
          <w:rFonts w:hint="eastAsia" w:ascii="仿宋_GB2312" w:eastAsia="仿宋_GB2312"/>
          <w:color w:val="000000"/>
          <w:sz w:val="32"/>
          <w:szCs w:val="30"/>
          <w:highlight w:val="none"/>
          <w:lang w:eastAsia="zh-CN"/>
        </w:rPr>
        <w:t>万元</w:t>
      </w:r>
    </w:p>
    <w:p>
      <w:pPr>
        <w:widowControl/>
        <w:numPr>
          <w:ilvl w:val="0"/>
          <w:numId w:val="0"/>
        </w:numPr>
        <w:spacing w:line="600" w:lineRule="exact"/>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　　（</w:t>
      </w:r>
      <w:r>
        <w:rPr>
          <w:rFonts w:hint="eastAsia" w:ascii="仿宋_GB2312" w:eastAsia="仿宋_GB2312"/>
          <w:color w:val="000000"/>
          <w:sz w:val="32"/>
          <w:szCs w:val="30"/>
          <w:highlight w:val="none"/>
          <w:lang w:val="en-US" w:eastAsia="zh-CN"/>
        </w:rPr>
        <w:t>5）</w:t>
      </w:r>
      <w:r>
        <w:rPr>
          <w:rFonts w:hint="eastAsia" w:ascii="仿宋_GB2312" w:eastAsia="仿宋_GB2312"/>
          <w:color w:val="000000"/>
          <w:sz w:val="32"/>
          <w:szCs w:val="30"/>
          <w:highlight w:val="none"/>
        </w:rPr>
        <w:t>绩效目标和指标</w:t>
      </w:r>
      <w:r>
        <w:rPr>
          <w:rFonts w:hint="eastAsia" w:ascii="仿宋_GB2312" w:eastAsia="仿宋_GB2312"/>
          <w:color w:val="000000"/>
          <w:sz w:val="32"/>
          <w:szCs w:val="30"/>
          <w:highlight w:val="none"/>
          <w:lang w:eastAsia="zh-CN"/>
        </w:rPr>
        <w:t>：</w:t>
      </w:r>
    </w:p>
    <w:tbl>
      <w:tblPr>
        <w:tblStyle w:val="6"/>
        <w:tblW w:w="86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6"/>
        <w:gridCol w:w="1096"/>
        <w:gridCol w:w="5754"/>
        <w:gridCol w:w="9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一级指标</w:t>
            </w:r>
          </w:p>
        </w:tc>
        <w:tc>
          <w:tcPr>
            <w:tcW w:w="9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二级指标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三级指标</w:t>
            </w:r>
          </w:p>
        </w:tc>
        <w:tc>
          <w:tcPr>
            <w:tcW w:w="9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产出指标</w:t>
            </w:r>
          </w:p>
        </w:tc>
        <w:tc>
          <w:tcPr>
            <w:tcW w:w="0" w:type="auto"/>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数量指标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项目推进计划完成率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575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tcBorders>
              <w:top w:val="single" w:color="000000" w:sz="4" w:space="0"/>
              <w:left w:val="single" w:color="000000" w:sz="4" w:space="0"/>
              <w:bottom w:val="nil"/>
              <w:right w:val="nil"/>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质量指标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节能量验收合格率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5754" w:type="dxa"/>
            <w:vMerge w:val="restar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restart"/>
            <w:tcBorders>
              <w:top w:val="single" w:color="000000" w:sz="4" w:space="0"/>
              <w:left w:val="single" w:color="000000" w:sz="4" w:space="0"/>
              <w:bottom w:val="nil"/>
              <w:right w:val="nil"/>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575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continue"/>
            <w:tcBorders>
              <w:top w:val="single" w:color="000000" w:sz="4" w:space="0"/>
              <w:left w:val="single" w:color="000000" w:sz="4" w:space="0"/>
              <w:bottom w:val="nil"/>
              <w:right w:val="nil"/>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时效指标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项目延误率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成本指标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效益指标</w:t>
            </w: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经济效益指标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试验前后节能费用控制比</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社会效益指标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试验前后节能费用控制比</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生态效益指标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试验节能标准达标率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可持续影响指标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项目可复制性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满意度指标</w:t>
            </w: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服务对象满意度指标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满意度</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bl>
    <w:p>
      <w:pPr>
        <w:widowControl/>
        <w:numPr>
          <w:ilvl w:val="0"/>
          <w:numId w:val="0"/>
        </w:numPr>
        <w:spacing w:line="600" w:lineRule="exact"/>
        <w:jc w:val="left"/>
        <w:rPr>
          <w:rFonts w:hint="eastAsia" w:ascii="仿宋_GB2312" w:eastAsia="仿宋_GB2312"/>
          <w:color w:val="000000"/>
          <w:sz w:val="32"/>
          <w:szCs w:val="30"/>
          <w:highlight w:val="none"/>
          <w:lang w:eastAsia="zh-CN"/>
        </w:rPr>
      </w:pPr>
    </w:p>
    <w:p>
      <w:pPr>
        <w:widowControl/>
        <w:numPr>
          <w:ilvl w:val="0"/>
          <w:numId w:val="0"/>
        </w:numPr>
        <w:spacing w:line="600" w:lineRule="exact"/>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4.</w:t>
      </w:r>
      <w:r>
        <w:rPr>
          <w:rFonts w:hint="eastAsia" w:ascii="仿宋_GB2312" w:eastAsia="仿宋_GB2312"/>
          <w:color w:val="000000"/>
          <w:sz w:val="32"/>
          <w:szCs w:val="30"/>
          <w:highlight w:val="none"/>
          <w:lang w:eastAsia="zh-CN"/>
        </w:rPr>
        <w:t>省固定结算补助</w:t>
      </w:r>
    </w:p>
    <w:p>
      <w:pPr>
        <w:widowControl/>
        <w:numPr>
          <w:ilvl w:val="0"/>
          <w:numId w:val="0"/>
        </w:numPr>
        <w:spacing w:line="600" w:lineRule="exact"/>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　　（</w:t>
      </w:r>
      <w:r>
        <w:rPr>
          <w:rFonts w:hint="eastAsia" w:ascii="仿宋_GB2312" w:eastAsia="仿宋_GB2312"/>
          <w:color w:val="000000"/>
          <w:sz w:val="32"/>
          <w:szCs w:val="30"/>
          <w:highlight w:val="none"/>
          <w:lang w:val="en-US" w:eastAsia="zh-CN"/>
        </w:rPr>
        <w:t>1）</w:t>
      </w:r>
      <w:r>
        <w:rPr>
          <w:rFonts w:hint="eastAsia" w:ascii="仿宋_GB2312" w:eastAsia="仿宋_GB2312"/>
          <w:color w:val="000000"/>
          <w:sz w:val="32"/>
          <w:szCs w:val="30"/>
          <w:highlight w:val="none"/>
        </w:rPr>
        <w:t>项目概述</w:t>
      </w:r>
      <w:r>
        <w:rPr>
          <w:rFonts w:hint="eastAsia" w:ascii="仿宋_GB2312" w:eastAsia="仿宋_GB2312"/>
          <w:color w:val="000000"/>
          <w:sz w:val="32"/>
          <w:szCs w:val="30"/>
          <w:highlight w:val="none"/>
          <w:lang w:eastAsia="zh-CN"/>
        </w:rPr>
        <w:t>：深化国有农场税费改革，规范国家、国有农场与农工之间的分配关系，切实减轻农工负担，促进全面建设小康社会和建设社会主义新农村目标的实现</w:t>
      </w:r>
    </w:p>
    <w:p>
      <w:pPr>
        <w:widowControl/>
        <w:numPr>
          <w:ilvl w:val="0"/>
          <w:numId w:val="0"/>
        </w:numPr>
        <w:spacing w:line="600" w:lineRule="exact"/>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eastAsia="zh-CN"/>
        </w:rPr>
        <w:t>　　（</w:t>
      </w:r>
      <w:r>
        <w:rPr>
          <w:rFonts w:hint="eastAsia" w:ascii="仿宋_GB2312" w:eastAsia="仿宋_GB2312"/>
          <w:color w:val="000000"/>
          <w:sz w:val="32"/>
          <w:szCs w:val="30"/>
          <w:highlight w:val="none"/>
          <w:lang w:val="en-US" w:eastAsia="zh-CN"/>
        </w:rPr>
        <w:t>2）</w:t>
      </w:r>
      <w:r>
        <w:rPr>
          <w:rFonts w:hint="eastAsia" w:ascii="仿宋_GB2312" w:eastAsia="仿宋_GB2312"/>
          <w:color w:val="000000"/>
          <w:sz w:val="32"/>
          <w:szCs w:val="30"/>
          <w:highlight w:val="none"/>
        </w:rPr>
        <w:t>实施主体</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景德镇市农业科学研究所</w:t>
      </w:r>
      <w:r>
        <w:rPr>
          <w:rFonts w:hint="eastAsia" w:ascii="仿宋_GB2312" w:eastAsia="仿宋_GB2312"/>
          <w:color w:val="000000"/>
          <w:sz w:val="32"/>
          <w:szCs w:val="30"/>
          <w:highlight w:val="none"/>
        </w:rPr>
        <w:t xml:space="preserve"> </w:t>
      </w:r>
    </w:p>
    <w:p>
      <w:pPr>
        <w:widowControl/>
        <w:numPr>
          <w:ilvl w:val="0"/>
          <w:numId w:val="0"/>
        </w:numPr>
        <w:spacing w:line="600" w:lineRule="exact"/>
        <w:jc w:val="left"/>
        <w:rPr>
          <w:rFonts w:hint="default"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eastAsia="zh-CN"/>
        </w:rPr>
        <w:t>　　（</w:t>
      </w:r>
      <w:r>
        <w:rPr>
          <w:rFonts w:hint="eastAsia" w:ascii="仿宋_GB2312" w:eastAsia="仿宋_GB2312"/>
          <w:color w:val="000000"/>
          <w:sz w:val="32"/>
          <w:szCs w:val="30"/>
          <w:highlight w:val="none"/>
          <w:lang w:val="en-US" w:eastAsia="zh-CN"/>
        </w:rPr>
        <w:t>3）</w:t>
      </w:r>
      <w:r>
        <w:rPr>
          <w:rFonts w:hint="eastAsia" w:ascii="仿宋_GB2312" w:eastAsia="仿宋_GB2312"/>
          <w:color w:val="000000"/>
          <w:sz w:val="32"/>
          <w:szCs w:val="30"/>
          <w:highlight w:val="none"/>
        </w:rPr>
        <w:t>实施周期</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2022年1月-12月</w:t>
      </w:r>
    </w:p>
    <w:p>
      <w:pPr>
        <w:widowControl/>
        <w:spacing w:line="600" w:lineRule="exact"/>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　　（</w:t>
      </w:r>
      <w:r>
        <w:rPr>
          <w:rFonts w:hint="eastAsia" w:ascii="仿宋_GB2312" w:eastAsia="仿宋_GB2312"/>
          <w:color w:val="000000"/>
          <w:sz w:val="32"/>
          <w:szCs w:val="30"/>
          <w:highlight w:val="none"/>
          <w:lang w:val="en-US" w:eastAsia="zh-CN"/>
        </w:rPr>
        <w:t>4）</w:t>
      </w:r>
      <w:r>
        <w:rPr>
          <w:rFonts w:hint="eastAsia" w:ascii="仿宋_GB2312" w:eastAsia="仿宋_GB2312"/>
          <w:color w:val="000000"/>
          <w:sz w:val="32"/>
          <w:szCs w:val="30"/>
          <w:highlight w:val="none"/>
        </w:rPr>
        <w:t>年度预算安排</w:t>
      </w:r>
      <w:r>
        <w:rPr>
          <w:rFonts w:hint="eastAsia" w:ascii="仿宋_GB2312" w:eastAsia="仿宋_GB2312"/>
          <w:color w:val="000000"/>
          <w:sz w:val="32"/>
          <w:szCs w:val="30"/>
          <w:highlight w:val="none"/>
          <w:lang w:eastAsia="zh-CN"/>
        </w:rPr>
        <w:t>：财政预算</w:t>
      </w:r>
      <w:r>
        <w:rPr>
          <w:rFonts w:hint="eastAsia" w:ascii="仿宋_GB2312" w:eastAsia="仿宋_GB2312"/>
          <w:color w:val="000000"/>
          <w:sz w:val="32"/>
          <w:szCs w:val="30"/>
          <w:highlight w:val="none"/>
          <w:lang w:val="en-US" w:eastAsia="zh-CN"/>
        </w:rPr>
        <w:t>10.1</w:t>
      </w:r>
      <w:r>
        <w:rPr>
          <w:rFonts w:hint="eastAsia" w:ascii="仿宋_GB2312" w:eastAsia="仿宋_GB2312"/>
          <w:color w:val="000000"/>
          <w:sz w:val="32"/>
          <w:szCs w:val="30"/>
          <w:highlight w:val="none"/>
          <w:lang w:eastAsia="zh-CN"/>
        </w:rPr>
        <w:t>万元</w:t>
      </w:r>
    </w:p>
    <w:p>
      <w:pPr>
        <w:widowControl/>
        <w:numPr>
          <w:ilvl w:val="0"/>
          <w:numId w:val="0"/>
        </w:numPr>
        <w:spacing w:line="600" w:lineRule="exact"/>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　　（</w:t>
      </w:r>
      <w:r>
        <w:rPr>
          <w:rFonts w:hint="eastAsia" w:ascii="仿宋_GB2312" w:eastAsia="仿宋_GB2312"/>
          <w:color w:val="000000"/>
          <w:sz w:val="32"/>
          <w:szCs w:val="30"/>
          <w:highlight w:val="none"/>
          <w:lang w:val="en-US" w:eastAsia="zh-CN"/>
        </w:rPr>
        <w:t>5）</w:t>
      </w:r>
      <w:r>
        <w:rPr>
          <w:rFonts w:hint="eastAsia" w:ascii="仿宋_GB2312" w:eastAsia="仿宋_GB2312"/>
          <w:color w:val="000000"/>
          <w:sz w:val="32"/>
          <w:szCs w:val="30"/>
          <w:highlight w:val="none"/>
        </w:rPr>
        <w:t>绩效目标和指标</w:t>
      </w:r>
      <w:r>
        <w:rPr>
          <w:rFonts w:hint="eastAsia" w:ascii="仿宋_GB2312" w:eastAsia="仿宋_GB2312"/>
          <w:color w:val="000000"/>
          <w:sz w:val="32"/>
          <w:szCs w:val="30"/>
          <w:highlight w:val="none"/>
          <w:lang w:eastAsia="zh-CN"/>
        </w:rPr>
        <w:t>：</w:t>
      </w:r>
    </w:p>
    <w:tbl>
      <w:tblPr>
        <w:tblStyle w:val="6"/>
        <w:tblW w:w="86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6"/>
        <w:gridCol w:w="1096"/>
        <w:gridCol w:w="5754"/>
        <w:gridCol w:w="9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一级指标</w:t>
            </w:r>
          </w:p>
        </w:tc>
        <w:tc>
          <w:tcPr>
            <w:tcW w:w="9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二级指标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三级指标</w:t>
            </w:r>
          </w:p>
        </w:tc>
        <w:tc>
          <w:tcPr>
            <w:tcW w:w="9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产出指标</w:t>
            </w:r>
          </w:p>
        </w:tc>
        <w:tc>
          <w:tcPr>
            <w:tcW w:w="0" w:type="auto"/>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数量指标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免除农工土地承包费</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国有农场税费改革转移支付比例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5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restart"/>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5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质量指标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是否达到预期目标率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575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tcBorders>
              <w:top w:val="single" w:color="000000" w:sz="4" w:space="0"/>
              <w:left w:val="single" w:color="000000" w:sz="4" w:space="0"/>
              <w:bottom w:val="nil"/>
              <w:right w:val="nil"/>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时效指标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规范对农工的其他各种收费进度</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成本指标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预算投入</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10.1万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效益指标</w:t>
            </w: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经济效益指标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生产队内公益事业建设投入达标率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社会效益指标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农业和农村基本建设投入提升程度</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生态效益指标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农工对环境改观认可程度上升率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可持续影响指标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改革效果可持续影响情况率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满意度指标</w:t>
            </w: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服务对象满意度指标</w:t>
            </w: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农工满意度百分比</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7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bl>
    <w:p>
      <w:pPr>
        <w:widowControl/>
        <w:numPr>
          <w:ilvl w:val="0"/>
          <w:numId w:val="0"/>
        </w:numPr>
        <w:spacing w:line="600" w:lineRule="exact"/>
        <w:jc w:val="left"/>
        <w:rPr>
          <w:rFonts w:hint="eastAsia" w:ascii="仿宋_GB2312" w:eastAsia="仿宋_GB2312"/>
          <w:color w:val="000000"/>
          <w:sz w:val="32"/>
          <w:szCs w:val="30"/>
          <w:highlight w:val="none"/>
          <w:lang w:eastAsia="zh-CN"/>
        </w:rPr>
      </w:pPr>
    </w:p>
    <w:p>
      <w:pPr>
        <w:tabs>
          <w:tab w:val="left" w:pos="1113"/>
        </w:tabs>
        <w:ind w:firstLine="480" w:firstLineChars="150"/>
        <w:rPr>
          <w:rFonts w:ascii="仿宋_GB2312" w:eastAsia="仿宋_GB2312" w:cs="Times New Roman"/>
          <w:b/>
          <w:bCs/>
          <w:sz w:val="32"/>
          <w:szCs w:val="32"/>
          <w:highlight w:val="none"/>
        </w:rPr>
      </w:pPr>
      <w:r>
        <w:rPr>
          <w:rFonts w:hint="eastAsia" w:ascii="仿宋_GB2312" w:hAnsi="宋体" w:eastAsia="仿宋_GB2312" w:cs="仿宋_GB2312"/>
          <w:sz w:val="32"/>
          <w:szCs w:val="32"/>
          <w:highlight w:val="none"/>
          <w:lang w:eastAsia="zh-CN"/>
        </w:rPr>
        <w:t>二、</w:t>
      </w:r>
      <w:r>
        <w:rPr>
          <w:rFonts w:hint="eastAsia" w:ascii="仿宋_GB2312" w:hAnsi="宋体" w:eastAsia="仿宋_GB2312" w:cs="仿宋_GB2312"/>
          <w:b/>
          <w:bCs/>
          <w:sz w:val="32"/>
          <w:szCs w:val="32"/>
          <w:highlight w:val="none"/>
        </w:rPr>
        <w:t>2022年“三公”经费预算情况说明</w:t>
      </w:r>
    </w:p>
    <w:p>
      <w:pPr>
        <w:ind w:firstLine="640" w:firstLineChars="200"/>
        <w:rPr>
          <w:rFonts w:hint="default" w:ascii="仿宋_GB2312" w:eastAsia="仿宋_GB2312" w:cs="Times New Roman"/>
          <w:b w:val="0"/>
          <w:bCs w:val="0"/>
          <w:sz w:val="32"/>
          <w:szCs w:val="32"/>
          <w:lang w:val="en-US" w:eastAsia="zh-CN"/>
        </w:rPr>
      </w:pPr>
      <w:r>
        <w:rPr>
          <w:rFonts w:hint="eastAsia" w:ascii="仿宋_GB2312" w:hAnsi="宋体" w:eastAsia="仿宋_GB2312" w:cs="仿宋_GB2312"/>
          <w:sz w:val="32"/>
          <w:szCs w:val="32"/>
          <w:highlight w:val="none"/>
        </w:rPr>
        <w:t>2022年市</w:t>
      </w:r>
      <w:r>
        <w:rPr>
          <w:rFonts w:hint="eastAsia" w:ascii="仿宋_GB2312" w:hAnsi="宋体" w:eastAsia="仿宋_GB2312" w:cs="仿宋_GB2312"/>
          <w:sz w:val="32"/>
          <w:szCs w:val="32"/>
          <w:highlight w:val="none"/>
          <w:lang w:val="en-US" w:eastAsia="zh-CN"/>
        </w:rPr>
        <w:t>农业科学研究所</w:t>
      </w:r>
      <w:r>
        <w:rPr>
          <w:rFonts w:hint="eastAsia" w:ascii="仿宋_GB2312" w:hAnsi="宋体" w:eastAsia="仿宋_GB2312" w:cs="仿宋_GB2312"/>
          <w:sz w:val="32"/>
          <w:szCs w:val="32"/>
          <w:highlight w:val="none"/>
        </w:rPr>
        <w:t>“三公”经费年初预算安排</w:t>
      </w:r>
      <w:r>
        <w:rPr>
          <w:rFonts w:hint="eastAsia" w:ascii="仿宋_GB2312" w:hAnsi="宋体" w:eastAsia="仿宋_GB2312" w:cs="仿宋_GB2312"/>
          <w:sz w:val="32"/>
          <w:szCs w:val="32"/>
          <w:highlight w:val="none"/>
          <w:lang w:val="en-US" w:eastAsia="zh-CN"/>
        </w:rPr>
        <w:t>9</w:t>
      </w:r>
      <w:r>
        <w:rPr>
          <w:rFonts w:hint="eastAsia" w:ascii="仿宋_GB2312" w:hAnsi="宋体" w:eastAsia="仿宋_GB2312" w:cs="仿宋_GB2312"/>
          <w:sz w:val="32"/>
          <w:szCs w:val="32"/>
          <w:highlight w:val="none"/>
        </w:rPr>
        <w:t>.59万元。其中：因公出国（境）费0万元，比上年增（减）0万元</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没有增长</w:t>
      </w:r>
      <w:r>
        <w:rPr>
          <w:rFonts w:hint="eastAsia" w:ascii="仿宋_GB2312" w:hAnsi="宋体" w:eastAsia="仿宋_GB2312" w:cs="仿宋_GB2312"/>
          <w:sz w:val="32"/>
          <w:szCs w:val="32"/>
          <w:highlight w:val="none"/>
          <w:lang w:eastAsia="zh-CN"/>
        </w:rPr>
        <w:t>变化。</w:t>
      </w:r>
      <w:r>
        <w:rPr>
          <w:rFonts w:hint="eastAsia" w:ascii="仿宋_GB2312" w:hAnsi="宋体" w:eastAsia="仿宋_GB2312" w:cs="仿宋_GB2312"/>
          <w:b w:val="0"/>
          <w:bCs w:val="0"/>
          <w:sz w:val="32"/>
          <w:szCs w:val="32"/>
          <w:lang w:val="en-US" w:eastAsia="zh-CN"/>
        </w:rPr>
        <w:t>原因</w:t>
      </w:r>
      <w:r>
        <w:rPr>
          <w:rStyle w:val="13"/>
          <w:rFonts w:hint="eastAsia" w:ascii="仿宋" w:hAnsi="仿宋" w:eastAsia="仿宋"/>
          <w:b w:val="0"/>
          <w:bCs w:val="0"/>
          <w:sz w:val="32"/>
          <w:szCs w:val="32"/>
        </w:rPr>
        <w:t>与上年安排保持一致</w:t>
      </w:r>
      <w:r>
        <w:rPr>
          <w:rFonts w:hint="eastAsia" w:ascii="仿宋_GB2312" w:hAnsi="宋体" w:eastAsia="仿宋_GB2312" w:cs="仿宋_GB2312"/>
          <w:b w:val="0"/>
          <w:bCs w:val="0"/>
          <w:sz w:val="32"/>
          <w:szCs w:val="32"/>
          <w:lang w:val="en-US" w:eastAsia="zh-CN"/>
        </w:rPr>
        <w:t>。</w:t>
      </w:r>
    </w:p>
    <w:p>
      <w:pPr>
        <w:ind w:firstLine="640" w:firstLineChars="200"/>
        <w:rPr>
          <w:rFonts w:hint="eastAsia" w:ascii="仿宋_GB2312" w:hAnsi="宋体" w:eastAsia="仿宋_GB2312" w:cs="仿宋_GB2312"/>
          <w:sz w:val="32"/>
          <w:szCs w:val="32"/>
          <w:highlight w:val="none"/>
          <w:lang w:eastAsia="zh-CN"/>
        </w:rPr>
      </w:pPr>
      <w:r>
        <w:rPr>
          <w:rFonts w:hint="eastAsia" w:ascii="仿宋_GB2312" w:hAnsi="宋体" w:eastAsia="仿宋_GB2312" w:cs="仿宋_GB2312"/>
          <w:sz w:val="32"/>
          <w:szCs w:val="32"/>
          <w:highlight w:val="none"/>
        </w:rPr>
        <w:t>公务接待费</w:t>
      </w:r>
      <w:r>
        <w:rPr>
          <w:rFonts w:hint="eastAsia" w:ascii="仿宋_GB2312" w:hAnsi="宋体" w:eastAsia="仿宋_GB2312" w:cs="仿宋_GB2312"/>
          <w:sz w:val="32"/>
          <w:szCs w:val="32"/>
          <w:highlight w:val="none"/>
          <w:lang w:val="en-US" w:eastAsia="zh-CN"/>
        </w:rPr>
        <w:t>7</w:t>
      </w:r>
      <w:r>
        <w:rPr>
          <w:rFonts w:hint="eastAsia" w:ascii="仿宋_GB2312" w:hAnsi="宋体" w:eastAsia="仿宋_GB2312" w:cs="仿宋_GB2312"/>
          <w:sz w:val="32"/>
          <w:szCs w:val="32"/>
          <w:highlight w:val="none"/>
        </w:rPr>
        <w:t>万元，比上年增</w:t>
      </w:r>
      <w:r>
        <w:rPr>
          <w:rFonts w:hint="eastAsia" w:ascii="仿宋_GB2312" w:hAnsi="宋体" w:eastAsia="仿宋_GB2312" w:cs="仿宋_GB2312"/>
          <w:sz w:val="32"/>
          <w:szCs w:val="32"/>
          <w:highlight w:val="none"/>
          <w:lang w:val="en-US" w:eastAsia="zh-CN"/>
        </w:rPr>
        <w:t>加1.3</w:t>
      </w:r>
      <w:r>
        <w:rPr>
          <w:rFonts w:hint="eastAsia" w:ascii="仿宋_GB2312" w:hAnsi="宋体" w:eastAsia="仿宋_GB2312" w:cs="仿宋_GB2312"/>
          <w:sz w:val="32"/>
          <w:szCs w:val="32"/>
          <w:highlight w:val="none"/>
        </w:rPr>
        <w:t>万元，主要原因：</w:t>
      </w:r>
      <w:r>
        <w:rPr>
          <w:rFonts w:hint="eastAsia" w:ascii="仿宋_GB2312" w:hAnsi="宋体" w:eastAsia="仿宋_GB2312" w:cs="仿宋_GB2312"/>
          <w:sz w:val="32"/>
          <w:szCs w:val="32"/>
          <w:highlight w:val="none"/>
          <w:lang w:eastAsia="zh-CN"/>
        </w:rPr>
        <w:t>机构改革单位合并，增加原自收自支单位的支出，公务支出增加。</w:t>
      </w:r>
    </w:p>
    <w:p>
      <w:pPr>
        <w:ind w:firstLine="640" w:firstLineChars="200"/>
        <w:rPr>
          <w:rFonts w:hint="default" w:ascii="仿宋_GB2312" w:eastAsia="仿宋_GB2312" w:cs="Times New Roman"/>
          <w:b w:val="0"/>
          <w:bCs w:val="0"/>
          <w:sz w:val="32"/>
          <w:szCs w:val="32"/>
          <w:lang w:val="en-US" w:eastAsia="zh-CN"/>
        </w:rPr>
      </w:pPr>
      <w:r>
        <w:rPr>
          <w:rFonts w:hint="eastAsia" w:ascii="仿宋_GB2312" w:hAnsi="宋体" w:eastAsia="仿宋_GB2312" w:cs="仿宋_GB2312"/>
          <w:sz w:val="32"/>
          <w:szCs w:val="32"/>
          <w:highlight w:val="none"/>
        </w:rPr>
        <w:t>公务用车运行维护费2.59万元，比上年增加</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没有增长</w:t>
      </w:r>
      <w:r>
        <w:rPr>
          <w:rFonts w:hint="eastAsia" w:ascii="仿宋_GB2312" w:hAnsi="宋体" w:eastAsia="仿宋_GB2312" w:cs="仿宋_GB2312"/>
          <w:sz w:val="32"/>
          <w:szCs w:val="32"/>
          <w:highlight w:val="none"/>
          <w:lang w:eastAsia="zh-CN"/>
        </w:rPr>
        <w:t>变化</w:t>
      </w:r>
      <w:r>
        <w:rPr>
          <w:rFonts w:hint="eastAsia" w:ascii="仿宋_GB2312" w:hAnsi="宋体" w:eastAsia="仿宋_GB2312" w:cs="仿宋_GB2312"/>
          <w:sz w:val="32"/>
          <w:szCs w:val="32"/>
          <w:highlight w:val="none"/>
        </w:rPr>
        <w:t>。</w:t>
      </w:r>
      <w:r>
        <w:rPr>
          <w:rFonts w:hint="eastAsia" w:ascii="仿宋_GB2312" w:hAnsi="宋体" w:eastAsia="仿宋_GB2312" w:cs="仿宋_GB2312"/>
          <w:b w:val="0"/>
          <w:bCs w:val="0"/>
          <w:sz w:val="32"/>
          <w:szCs w:val="32"/>
          <w:lang w:val="en-US" w:eastAsia="zh-CN"/>
        </w:rPr>
        <w:t>原因</w:t>
      </w:r>
      <w:r>
        <w:rPr>
          <w:rStyle w:val="13"/>
          <w:rFonts w:hint="eastAsia" w:ascii="仿宋" w:hAnsi="仿宋" w:eastAsia="仿宋" w:cs="Times New Roman"/>
          <w:b w:val="0"/>
          <w:bCs w:val="0"/>
          <w:sz w:val="32"/>
          <w:szCs w:val="32"/>
        </w:rPr>
        <w:t>与上年安排保持一致</w:t>
      </w:r>
      <w:r>
        <w:rPr>
          <w:rFonts w:hint="eastAsia" w:ascii="仿宋_GB2312" w:hAnsi="宋体" w:eastAsia="仿宋_GB2312" w:cs="仿宋_GB2312"/>
          <w:b w:val="0"/>
          <w:bCs w:val="0"/>
          <w:sz w:val="32"/>
          <w:szCs w:val="32"/>
          <w:lang w:val="en-US" w:eastAsia="zh-CN"/>
        </w:rPr>
        <w:t>。</w:t>
      </w:r>
    </w:p>
    <w:p>
      <w:pPr>
        <w:ind w:firstLine="640" w:firstLineChars="200"/>
        <w:rPr>
          <w:rFonts w:hint="default" w:ascii="仿宋_GB2312" w:eastAsia="仿宋_GB2312" w:cs="Times New Roman"/>
          <w:b w:val="0"/>
          <w:bCs w:val="0"/>
          <w:sz w:val="32"/>
          <w:szCs w:val="32"/>
          <w:lang w:val="en-US" w:eastAsia="zh-CN"/>
        </w:rPr>
      </w:pPr>
      <w:r>
        <w:rPr>
          <w:rFonts w:hint="eastAsia" w:ascii="仿宋_GB2312" w:hAnsi="宋体" w:eastAsia="仿宋_GB2312" w:cs="仿宋_GB2312"/>
          <w:sz w:val="32"/>
          <w:szCs w:val="32"/>
          <w:highlight w:val="none"/>
        </w:rPr>
        <w:t>公务用车购置费0万元，比上年增（减）0万元</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没有增长</w:t>
      </w:r>
      <w:r>
        <w:rPr>
          <w:rFonts w:hint="eastAsia" w:ascii="仿宋_GB2312" w:hAnsi="宋体" w:eastAsia="仿宋_GB2312" w:cs="仿宋_GB2312"/>
          <w:sz w:val="32"/>
          <w:szCs w:val="32"/>
          <w:highlight w:val="none"/>
          <w:lang w:eastAsia="zh-CN"/>
        </w:rPr>
        <w:t>变化</w:t>
      </w:r>
      <w:r>
        <w:rPr>
          <w:rFonts w:hint="eastAsia" w:ascii="仿宋_GB2312" w:hAnsi="宋体" w:eastAsia="仿宋_GB2312" w:cs="仿宋_GB2312"/>
          <w:sz w:val="32"/>
          <w:szCs w:val="32"/>
          <w:highlight w:val="none"/>
        </w:rPr>
        <w:t>。</w:t>
      </w:r>
      <w:r>
        <w:rPr>
          <w:rFonts w:hint="eastAsia" w:ascii="仿宋_GB2312" w:hAnsi="宋体" w:eastAsia="仿宋_GB2312" w:cs="仿宋_GB2312"/>
          <w:b w:val="0"/>
          <w:bCs w:val="0"/>
          <w:sz w:val="32"/>
          <w:szCs w:val="32"/>
          <w:lang w:val="en-US" w:eastAsia="zh-CN"/>
        </w:rPr>
        <w:t>原因</w:t>
      </w:r>
      <w:r>
        <w:rPr>
          <w:rStyle w:val="13"/>
          <w:rFonts w:hint="eastAsia" w:ascii="仿宋" w:hAnsi="仿宋" w:eastAsia="仿宋"/>
          <w:b w:val="0"/>
          <w:bCs w:val="0"/>
          <w:sz w:val="32"/>
          <w:szCs w:val="32"/>
        </w:rPr>
        <w:t>与上年安排保持一致</w:t>
      </w:r>
      <w:r>
        <w:rPr>
          <w:rFonts w:hint="eastAsia" w:ascii="仿宋_GB2312" w:hAnsi="宋体" w:eastAsia="仿宋_GB2312" w:cs="仿宋_GB2312"/>
          <w:b w:val="0"/>
          <w:bCs w:val="0"/>
          <w:sz w:val="32"/>
          <w:szCs w:val="32"/>
          <w:lang w:val="en-US" w:eastAsia="zh-CN"/>
        </w:rPr>
        <w:t>。</w:t>
      </w:r>
    </w:p>
    <w:p>
      <w:pPr>
        <w:rPr>
          <w:rFonts w:hint="eastAsia" w:ascii="黑体" w:hAnsi="宋体" w:eastAsia="黑体" w:cs="黑体"/>
          <w:sz w:val="32"/>
          <w:szCs w:val="32"/>
          <w:highlight w:val="none"/>
        </w:rPr>
      </w:pPr>
    </w:p>
    <w:p>
      <w:pPr>
        <w:rPr>
          <w:rFonts w:ascii="黑体" w:eastAsia="黑体" w:cs="Times New Roman"/>
          <w:sz w:val="32"/>
          <w:szCs w:val="32"/>
          <w:highlight w:val="none"/>
        </w:rPr>
      </w:pPr>
      <w:r>
        <w:rPr>
          <w:rFonts w:hint="eastAsia" w:ascii="黑体" w:hAnsi="宋体" w:eastAsia="黑体" w:cs="黑体"/>
          <w:sz w:val="32"/>
          <w:szCs w:val="32"/>
          <w:highlight w:val="none"/>
        </w:rPr>
        <w:t>第三部分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景德镇市</w:t>
      </w:r>
      <w:r>
        <w:rPr>
          <w:rFonts w:hint="eastAsia" w:ascii="黑体" w:hAnsi="宋体" w:eastAsia="黑体" w:cs="黑体"/>
          <w:sz w:val="32"/>
          <w:szCs w:val="32"/>
          <w:highlight w:val="none"/>
          <w:lang w:eastAsia="zh-CN"/>
        </w:rPr>
        <w:t>农业科学研究所2022</w:t>
      </w:r>
      <w:r>
        <w:rPr>
          <w:rFonts w:hint="eastAsia" w:ascii="黑体" w:hAnsi="宋体" w:eastAsia="黑体" w:cs="黑体"/>
          <w:sz w:val="32"/>
          <w:szCs w:val="32"/>
          <w:highlight w:val="none"/>
        </w:rPr>
        <w:t>年部门预算表</w:t>
      </w:r>
    </w:p>
    <w:p>
      <w:pPr>
        <w:rPr>
          <w:rFonts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（详见附表）</w:t>
      </w:r>
    </w:p>
    <w:p>
      <w:pPr>
        <w:rPr>
          <w:rFonts w:ascii="仿宋_GB2312" w:eastAsia="仿宋_GB2312" w:cs="Times New Roman"/>
          <w:b/>
          <w:bCs/>
          <w:sz w:val="32"/>
          <w:szCs w:val="32"/>
          <w:highlight w:val="none"/>
        </w:rPr>
      </w:pPr>
      <w:r>
        <w:rPr>
          <w:rFonts w:hint="eastAsia" w:ascii="黑体" w:hAnsi="宋体" w:eastAsia="黑体" w:cs="黑体"/>
          <w:sz w:val="32"/>
          <w:szCs w:val="32"/>
          <w:highlight w:val="none"/>
        </w:rPr>
        <w:t>第四部分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3"/>
        </w:numPr>
        <w:spacing w:line="600" w:lineRule="exact"/>
        <w:ind w:firstLine="640"/>
        <w:jc w:val="left"/>
        <w:rPr>
          <w:rFonts w:ascii="仿宋_GB2312" w:hAnsi="Times New Roman" w:eastAsia="仿宋_GB2312"/>
          <w:color w:val="000000"/>
          <w:sz w:val="32"/>
          <w:szCs w:val="30"/>
        </w:rPr>
      </w:pPr>
      <w:r>
        <w:rPr>
          <w:rFonts w:hint="eastAsia" w:ascii="仿宋_GB2312" w:hAnsi="Times New Roman" w:eastAsia="仿宋_GB2312"/>
          <w:color w:val="000000"/>
          <w:sz w:val="32"/>
          <w:szCs w:val="30"/>
        </w:rPr>
        <w:t>财政拨款：指</w:t>
      </w:r>
      <w:r>
        <w:rPr>
          <w:rFonts w:hint="eastAsia" w:ascii="仿宋_GB2312" w:hAnsi="Times New Roman" w:eastAsia="仿宋_GB2312"/>
          <w:color w:val="000000"/>
          <w:sz w:val="32"/>
          <w:szCs w:val="30"/>
          <w:lang w:eastAsia="zh-CN"/>
        </w:rPr>
        <w:t>市</w:t>
      </w:r>
      <w:r>
        <w:rPr>
          <w:rFonts w:hint="eastAsia" w:ascii="仿宋_GB2312" w:hAnsi="Times New Roman" w:eastAsia="仿宋_GB2312"/>
          <w:color w:val="000000"/>
          <w:sz w:val="32"/>
          <w:szCs w:val="30"/>
        </w:rPr>
        <w:t>级财政当年拨付的资金。</w:t>
      </w:r>
    </w:p>
    <w:p>
      <w:pPr>
        <w:widowControl/>
        <w:numPr>
          <w:ilvl w:val="0"/>
          <w:numId w:val="3"/>
        </w:numPr>
        <w:spacing w:line="600" w:lineRule="exact"/>
        <w:ind w:firstLine="640"/>
        <w:jc w:val="left"/>
        <w:rPr>
          <w:rFonts w:ascii="仿宋_GB2312" w:hAnsi="Times New Roman" w:eastAsia="仿宋_GB2312"/>
          <w:color w:val="000000"/>
          <w:sz w:val="32"/>
          <w:szCs w:val="30"/>
        </w:rPr>
      </w:pPr>
      <w:r>
        <w:rPr>
          <w:rFonts w:hint="eastAsia" w:ascii="仿宋_GB2312" w:hAnsi="Times New Roman" w:eastAsia="仿宋_GB2312"/>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使用非财政拨款结余：填列历年滚存的非限定用途的非统计财政拨款结余弥补2022年收支差额的数额。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ascii="仿宋_GB2312" w:eastAsia="仿宋_GB2312"/>
          <w:color w:val="000000"/>
          <w:sz w:val="32"/>
          <w:szCs w:val="30"/>
        </w:rPr>
        <w:t>2</w:t>
      </w:r>
      <w:r>
        <w:rPr>
          <w:rFonts w:hint="eastAsia" w:ascii="仿宋_GB2312" w:eastAsia="仿宋_GB2312"/>
          <w:color w:val="000000"/>
          <w:sz w:val="32"/>
          <w:szCs w:val="30"/>
        </w:rPr>
        <w:t>年全部结转和结余的资金数，包括当年结转结余资金和历年滚存结转结余资金。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二、支出科目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对部门预算中涉及的支出功能分类科目（明细到项级），结合部门实际，参照《2022年政府收支分类科目》的规范说明进行解释。</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（一）一般公共服务支出（类）纪检监察事务（款）</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派驻派出机构</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：反映由纪检监察部门负担的派驻各部门和单位的纪检监察人员的专项业务支出。</w:t>
      </w:r>
    </w:p>
    <w:p>
      <w:pPr>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（二）社会保障和就业支出（类）行政事业单位养老（款）</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行政单位离退休</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：反映行政单位（含参公）开支的离退休经费。</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事业单位离退休</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：反映事业单位开支的离退休费</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机关事业单位基本养老保险缴费</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：反映机关事业单位实施养老保险制度由单位缴纳的基本养老保险费支出。</w:t>
      </w:r>
    </w:p>
    <w:p>
      <w:pPr>
        <w:pageBreakBefore w:val="0"/>
        <w:numPr>
          <w:ilvl w:val="0"/>
          <w:numId w:val="4"/>
        </w:numPr>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卫生健康支出（类）卫生健康管理事务（款）</w:t>
      </w:r>
    </w:p>
    <w:p>
      <w:pPr>
        <w:pageBreakBefore w:val="0"/>
        <w:widowControl w:val="0"/>
        <w:numPr>
          <w:ilvl w:val="0"/>
          <w:numId w:val="0"/>
        </w:numPr>
        <w:kinsoku/>
        <w:wordWrap/>
        <w:overflowPunct/>
        <w:topLinePunct w:val="0"/>
        <w:autoSpaceDE/>
        <w:autoSpaceDN/>
        <w:bidi w:val="0"/>
        <w:adjustRightInd/>
        <w:spacing w:line="560" w:lineRule="exact"/>
        <w:jc w:val="both"/>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xml:space="preserve">     其他卫生健康管理事务（项）：反映其他用于卫生健康管理事务各方面的支出。</w:t>
      </w:r>
    </w:p>
    <w:p>
      <w:pPr>
        <w:pageBreakBefore w:val="0"/>
        <w:widowControl w:val="0"/>
        <w:numPr>
          <w:ilvl w:val="0"/>
          <w:numId w:val="4"/>
        </w:numPr>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卫生健康支出（类）行政事业单位医疗（款）</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行政单位医疗</w:t>
      </w:r>
      <w:r>
        <w:rPr>
          <w:rFonts w:hint="eastAsia" w:ascii="仿宋_GB2312" w:hAnsi="宋体" w:eastAsia="仿宋_GB2312" w:cs="仿宋_GB2312"/>
          <w:sz w:val="32"/>
          <w:szCs w:val="32"/>
          <w:lang w:val="en-US" w:eastAsia="zh-CN"/>
        </w:rPr>
        <w:t>（项）：反映财政部门安排的行政单位（含参公）基本医疗保险缴费经费，未参加医疗保险的行政单位的公费医疗经费，按国家规定享受离休人员、红军战士待遇人员的医疗经费。</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事业单位医疗</w:t>
      </w:r>
      <w:r>
        <w:rPr>
          <w:rFonts w:hint="eastAsia" w:ascii="仿宋_GB2312" w:hAnsi="宋体" w:eastAsia="仿宋_GB2312" w:cs="仿宋_GB2312"/>
          <w:sz w:val="32"/>
          <w:szCs w:val="32"/>
          <w:lang w:val="en-US" w:eastAsia="zh-CN"/>
        </w:rPr>
        <w:t>（项）：反映财政部门安排的事业单位基本医疗保险缴费经费，未参加医疗保险的事业单位的公费医疗经费，按照国家规定享受离休人员待遇的医疗经费。</w:t>
      </w:r>
    </w:p>
    <w:p>
      <w:pPr>
        <w:pageBreakBefore w:val="0"/>
        <w:widowControl w:val="0"/>
        <w:numPr>
          <w:ilvl w:val="0"/>
          <w:numId w:val="0"/>
        </w:numPr>
        <w:kinsoku/>
        <w:wordWrap/>
        <w:overflowPunct/>
        <w:topLinePunct w:val="0"/>
        <w:autoSpaceDE/>
        <w:autoSpaceDN/>
        <w:bidi w:val="0"/>
        <w:adjustRightInd/>
        <w:spacing w:line="560" w:lineRule="exact"/>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公务员医疗补助</w:t>
      </w:r>
      <w:r>
        <w:rPr>
          <w:rFonts w:hint="eastAsia" w:ascii="仿宋_GB2312" w:hAnsi="宋体" w:eastAsia="仿宋_GB2312" w:cs="仿宋_GB2312"/>
          <w:sz w:val="32"/>
          <w:szCs w:val="32"/>
          <w:lang w:val="en-US" w:eastAsia="zh-CN"/>
        </w:rPr>
        <w:t>（项）：反映财政部门安排的公务员医疗补助经费。</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其他行政事业单位医疗</w:t>
      </w:r>
      <w:r>
        <w:rPr>
          <w:rFonts w:hint="eastAsia" w:ascii="仿宋_GB2312" w:hAnsi="宋体" w:eastAsia="仿宋_GB2312" w:cs="仿宋_GB2312"/>
          <w:sz w:val="32"/>
          <w:szCs w:val="32"/>
          <w:lang w:val="en-US" w:eastAsia="zh-CN"/>
        </w:rPr>
        <w:t>（项）：反映除上述项目以外的其他用于行政事业单位医疗方面的支出。</w:t>
      </w:r>
    </w:p>
    <w:p>
      <w:pPr>
        <w:pageBreakBefore w:val="0"/>
        <w:widowControl w:val="0"/>
        <w:numPr>
          <w:ilvl w:val="0"/>
          <w:numId w:val="4"/>
        </w:numPr>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农林水支出（类）农业农村（款）</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行政运行</w:t>
      </w:r>
      <w:r>
        <w:rPr>
          <w:rFonts w:hint="eastAsia" w:ascii="仿宋_GB2312" w:hAnsi="宋体" w:eastAsia="仿宋_GB2312" w:cs="仿宋_GB2312"/>
          <w:sz w:val="32"/>
          <w:szCs w:val="32"/>
          <w:lang w:val="en-US" w:eastAsia="zh-CN"/>
        </w:rPr>
        <w:t>（项）：反映行政单位（含参公）的基本支出。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事业运行</w:t>
      </w:r>
      <w:r>
        <w:rPr>
          <w:rFonts w:hint="eastAsia" w:ascii="仿宋_GB2312" w:hAnsi="宋体" w:eastAsia="仿宋_GB2312" w:cs="仿宋_GB2312"/>
          <w:sz w:val="32"/>
          <w:szCs w:val="32"/>
          <w:lang w:val="en-US" w:eastAsia="zh-CN"/>
        </w:rPr>
        <w:t>（项）：反映用于农业事业单位基本支出，事业单位设施、系统运行与资产维护等方面的支出。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科技转化与推广服务</w:t>
      </w:r>
      <w:r>
        <w:rPr>
          <w:rFonts w:hint="eastAsia" w:ascii="仿宋_GB2312" w:hAnsi="宋体" w:eastAsia="仿宋_GB2312" w:cs="仿宋_GB2312"/>
          <w:sz w:val="32"/>
          <w:szCs w:val="32"/>
          <w:lang w:val="en-US" w:eastAsia="zh-CN"/>
        </w:rPr>
        <w:t>（项）：反映用于农业科技成果转化，农业新品种、新机具、新技术引进、试验、示范、推广及服务，农村人居环境整治等方面的技术试验示范支出。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病虫害控制</w:t>
      </w:r>
      <w:r>
        <w:rPr>
          <w:rFonts w:hint="eastAsia" w:ascii="仿宋_GB2312" w:hAnsi="宋体" w:eastAsia="仿宋_GB2312" w:cs="仿宋_GB2312"/>
          <w:sz w:val="32"/>
          <w:szCs w:val="32"/>
          <w:lang w:val="en-US" w:eastAsia="zh-CN"/>
        </w:rPr>
        <w:t>（项）：反映用于病虫鼠害及疫情监测、预报、预防、控制、检疫、防疫所需的仪器、设施、药物、疫苗、种苗，疫畜防治、扑杀补偿及劳务补助、菌（毒）种保藏及动植物及其产品检疫、检测等方面的支出。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农产品质量安全</w:t>
      </w:r>
      <w:r>
        <w:rPr>
          <w:rFonts w:hint="eastAsia" w:ascii="仿宋_GB2312" w:hAnsi="宋体" w:eastAsia="仿宋_GB2312" w:cs="仿宋_GB2312"/>
          <w:sz w:val="32"/>
          <w:szCs w:val="32"/>
          <w:lang w:val="en-US" w:eastAsia="zh-CN"/>
        </w:rPr>
        <w:t>（项）：反映用于农产品及其投入品的质量安全评估、监测、抽查、认证、应急处置，相关标准的制定、修订、实施、监管等方面的支出。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执法监管</w:t>
      </w:r>
      <w:r>
        <w:rPr>
          <w:rFonts w:hint="eastAsia" w:ascii="仿宋_GB2312" w:hAnsi="宋体" w:eastAsia="仿宋_GB2312" w:cs="仿宋_GB2312"/>
          <w:sz w:val="32"/>
          <w:szCs w:val="32"/>
          <w:lang w:val="en-US" w:eastAsia="zh-CN"/>
        </w:rPr>
        <w:t>（项）：反映用于农业农村法制建设、行政执法、行政复议、行政诉讼等方面的支出。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统计监测与信息服务</w:t>
      </w:r>
      <w:r>
        <w:rPr>
          <w:rFonts w:hint="eastAsia" w:ascii="仿宋_GB2312" w:hAnsi="宋体" w:eastAsia="仿宋_GB2312" w:cs="仿宋_GB2312"/>
          <w:sz w:val="32"/>
          <w:szCs w:val="32"/>
          <w:lang w:val="en-US" w:eastAsia="zh-CN"/>
        </w:rPr>
        <w:t>（项）：反映用于农业农村统计调查与信息收集、整理、分析、发布，以及农业自然资源调查与农业区划等方面的支出。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农业结构调整补贴</w:t>
      </w:r>
      <w:r>
        <w:rPr>
          <w:rFonts w:hint="eastAsia" w:ascii="仿宋_GB2312" w:hAnsi="宋体" w:eastAsia="仿宋_GB2312" w:cs="仿宋_GB2312"/>
          <w:sz w:val="32"/>
          <w:szCs w:val="32"/>
          <w:lang w:val="en-US" w:eastAsia="zh-CN"/>
        </w:rPr>
        <w:t>（项）：反映政府对农业结构调整给予的补贴。</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农业生产发展</w:t>
      </w:r>
      <w:r>
        <w:rPr>
          <w:rFonts w:hint="eastAsia" w:ascii="仿宋_GB2312" w:hAnsi="宋体" w:eastAsia="仿宋_GB2312" w:cs="仿宋_GB2312"/>
          <w:sz w:val="32"/>
          <w:szCs w:val="32"/>
          <w:lang w:val="en-US" w:eastAsia="zh-CN"/>
        </w:rPr>
        <w:t>（项）：反映用于耕地地力保护、适度规模经营、农机购置补贴、优势特色经营主体畜禽水产发展、农村一二三产融合等方面的支出。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乡村产业与合作经济</w:t>
      </w:r>
      <w:r>
        <w:rPr>
          <w:rFonts w:hint="eastAsia" w:ascii="仿宋_GB2312" w:hAnsi="宋体" w:eastAsia="仿宋_GB2312" w:cs="仿宋_GB2312"/>
          <w:sz w:val="32"/>
          <w:szCs w:val="32"/>
          <w:lang w:val="en-US" w:eastAsia="zh-CN"/>
        </w:rPr>
        <w:t>（项）：反映用于农村集体经济组织、农民合作经济组织、新型农业经营主体和农业社会化服务体系建设，以及土地承包管理、宅基地管理等方面的支出。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农产品加工与促销</w:t>
      </w:r>
      <w:r>
        <w:rPr>
          <w:rFonts w:hint="eastAsia" w:ascii="仿宋_GB2312" w:hAnsi="宋体" w:eastAsia="仿宋_GB2312" w:cs="仿宋_GB2312"/>
          <w:sz w:val="32"/>
          <w:szCs w:val="32"/>
          <w:lang w:val="en-US" w:eastAsia="zh-CN"/>
        </w:rPr>
        <w:t>（项）：反映用于促进农产品加工、储藏、运输、国内外大型农产品展示、交易、产销衔接、开拓国内外农产品市场及农业产业化发展等方面的支出。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农业资源保护修复与利用</w:t>
      </w:r>
      <w:r>
        <w:rPr>
          <w:rFonts w:hint="eastAsia" w:ascii="仿宋_GB2312" w:hAnsi="宋体" w:eastAsia="仿宋_GB2312" w:cs="仿宋_GB2312"/>
          <w:sz w:val="32"/>
          <w:szCs w:val="32"/>
          <w:lang w:val="en-US" w:eastAsia="zh-CN"/>
        </w:rPr>
        <w:t>（项）：反映用于耕地质量保护、草原草场利用，渔业水域资源环境保护，农业品种改良提升，以及农业生物资源调研收集、鉴定评价、保存利用等方面的支出。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其他农业农村</w:t>
      </w:r>
      <w:r>
        <w:rPr>
          <w:rFonts w:hint="eastAsia" w:ascii="仿宋_GB2312" w:hAnsi="宋体" w:eastAsia="仿宋_GB2312" w:cs="仿宋_GB2312"/>
          <w:sz w:val="32"/>
          <w:szCs w:val="32"/>
          <w:lang w:val="en-US" w:eastAsia="zh-CN"/>
        </w:rPr>
        <w:t>：反映其他用于农业农村方面的支出。</w:t>
      </w:r>
    </w:p>
    <w:p>
      <w:pPr>
        <w:pageBreakBefore w:val="0"/>
        <w:widowControl w:val="0"/>
        <w:numPr>
          <w:ilvl w:val="0"/>
          <w:numId w:val="4"/>
        </w:numPr>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住房保障支出（类）住房改革支出（款）</w:t>
      </w:r>
      <w:r>
        <w:rPr>
          <w:rFonts w:hint="default" w:ascii="仿宋_GB2312" w:hAnsi="宋体" w:eastAsia="仿宋_GB2312" w:cs="仿宋_GB2312"/>
          <w:sz w:val="32"/>
          <w:szCs w:val="32"/>
          <w:lang w:val="en-US" w:eastAsia="zh-CN"/>
        </w:rPr>
        <w:t>住房公积金</w:t>
      </w:r>
      <w:r>
        <w:rPr>
          <w:rFonts w:hint="eastAsia" w:ascii="仿宋_GB2312" w:hAnsi="宋体" w:eastAsia="仿宋_GB2312" w:cs="仿宋_GB2312"/>
          <w:sz w:val="32"/>
          <w:szCs w:val="32"/>
          <w:lang w:val="en-US" w:eastAsia="zh-CN"/>
        </w:rPr>
        <w:t>（项）：反映行政事业单位按人力资源和社会保障部、财政部规定的基本工资和津补贴以及规定比例为职工缴纳的住房公积金。</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rPr>
          <w:rFonts w:ascii="仿宋_GB2312" w:eastAsia="仿宋_GB2312" w:cs="Times New Roman"/>
          <w:sz w:val="32"/>
          <w:szCs w:val="32"/>
          <w:highlight w:val="none"/>
        </w:rPr>
      </w:pPr>
    </w:p>
    <w:p>
      <w:pPr>
        <w:rPr>
          <w:rFonts w:ascii="仿宋_GB2312" w:eastAsia="仿宋_GB2312" w:cs="Times New Roman"/>
          <w:sz w:val="32"/>
          <w:szCs w:val="32"/>
          <w:highlight w:val="none"/>
        </w:rPr>
      </w:pPr>
    </w:p>
    <w:p>
      <w:pPr>
        <w:rPr>
          <w:rFonts w:ascii="仿宋_GB2312" w:eastAsia="仿宋_GB2312" w:cs="Times New Roman"/>
          <w:sz w:val="32"/>
          <w:szCs w:val="32"/>
          <w:highlight w:val="none"/>
        </w:rPr>
      </w:pPr>
    </w:p>
    <w:p>
      <w:pPr>
        <w:rPr>
          <w:rFonts w:ascii="仿宋_GB2312" w:eastAsia="仿宋_GB2312" w:cs="Times New Roman"/>
          <w:sz w:val="32"/>
          <w:szCs w:val="32"/>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dobe 仿宋 Std R">
    <w:altName w:val="仿宋"/>
    <w:panose1 w:val="00000000000000000000"/>
    <w:charset w:val="00"/>
    <w:family w:val="roman"/>
    <w:pitch w:val="default"/>
    <w:sig w:usb0="00000000" w:usb1="00000000" w:usb2="00000016" w:usb3="00000000" w:csb0="00060007" w:csb1="00000000"/>
  </w:font>
  <w:font w:name="微软雅黑">
    <w:altName w:val="黑体"/>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8</w:t>
    </w:r>
    <w:r>
      <w:rPr>
        <w:rStyle w:val="8"/>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C1C29F"/>
    <w:multiLevelType w:val="singleLevel"/>
    <w:tmpl w:val="A8C1C29F"/>
    <w:lvl w:ilvl="0" w:tentative="0">
      <w:start w:val="2"/>
      <w:numFmt w:val="decimal"/>
      <w:lvlText w:val="%1."/>
      <w:lvlJc w:val="left"/>
      <w:pPr>
        <w:tabs>
          <w:tab w:val="left" w:pos="312"/>
        </w:tabs>
      </w:pPr>
    </w:lvl>
  </w:abstractNum>
  <w:abstractNum w:abstractNumId="1">
    <w:nsid w:val="F5D9D642"/>
    <w:multiLevelType w:val="singleLevel"/>
    <w:tmpl w:val="F5D9D642"/>
    <w:lvl w:ilvl="0" w:tentative="0">
      <w:start w:val="3"/>
      <w:numFmt w:val="chineseCounting"/>
      <w:suff w:val="nothing"/>
      <w:lvlText w:val="（%1）"/>
      <w:lvlJc w:val="left"/>
      <w:rPr>
        <w:rFonts w:hint="eastAsia"/>
      </w:rPr>
    </w:lvl>
  </w:abstractNum>
  <w:abstractNum w:abstractNumId="2">
    <w:nsid w:val="28F61431"/>
    <w:multiLevelType w:val="singleLevel"/>
    <w:tmpl w:val="28F61431"/>
    <w:lvl w:ilvl="0" w:tentative="0">
      <w:start w:val="1"/>
      <w:numFmt w:val="chineseCounting"/>
      <w:suff w:val="nothing"/>
      <w:lvlText w:val="（%1）"/>
      <w:lvlJc w:val="left"/>
      <w:pPr>
        <w:ind w:left="630"/>
      </w:pPr>
      <w:rPr>
        <w:rFonts w:hint="eastAsia"/>
      </w:rPr>
    </w:lvl>
  </w:abstractNum>
  <w:abstractNum w:abstractNumId="3">
    <w:nsid w:val="29F00608"/>
    <w:multiLevelType w:val="singleLevel"/>
    <w:tmpl w:val="29F00608"/>
    <w:lvl w:ilvl="0" w:tentative="0">
      <w:start w:val="1"/>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oNotHyphenateCaps/>
  <w:drawingGridVerticalSpacing w:val="156"/>
  <w:displayHorizontalDrawingGridEvery w:val="1"/>
  <w:displayVerticalDrawingGridEvery w:val="1"/>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19076E1D"/>
    <w:rsid w:val="000429DB"/>
    <w:rsid w:val="00066060"/>
    <w:rsid w:val="00675E17"/>
    <w:rsid w:val="00683AC4"/>
    <w:rsid w:val="008110CC"/>
    <w:rsid w:val="00B358C5"/>
    <w:rsid w:val="00C04C9A"/>
    <w:rsid w:val="00CB427A"/>
    <w:rsid w:val="00E4115F"/>
    <w:rsid w:val="00F500B9"/>
    <w:rsid w:val="01992CBB"/>
    <w:rsid w:val="022502CD"/>
    <w:rsid w:val="058B429F"/>
    <w:rsid w:val="05EB1609"/>
    <w:rsid w:val="060B01BA"/>
    <w:rsid w:val="061340E1"/>
    <w:rsid w:val="06636E24"/>
    <w:rsid w:val="07846554"/>
    <w:rsid w:val="07BA0D25"/>
    <w:rsid w:val="08C23B9D"/>
    <w:rsid w:val="08EE0B31"/>
    <w:rsid w:val="09821BDC"/>
    <w:rsid w:val="0A326819"/>
    <w:rsid w:val="0CBF216E"/>
    <w:rsid w:val="0EB5413B"/>
    <w:rsid w:val="0FCB58D0"/>
    <w:rsid w:val="107D2E38"/>
    <w:rsid w:val="11427CB1"/>
    <w:rsid w:val="139E3D52"/>
    <w:rsid w:val="14694735"/>
    <w:rsid w:val="14D07641"/>
    <w:rsid w:val="1562680F"/>
    <w:rsid w:val="162B4B72"/>
    <w:rsid w:val="16EC59FF"/>
    <w:rsid w:val="17811470"/>
    <w:rsid w:val="18003D99"/>
    <w:rsid w:val="187F3109"/>
    <w:rsid w:val="18AC060B"/>
    <w:rsid w:val="19076E1D"/>
    <w:rsid w:val="1A276E86"/>
    <w:rsid w:val="1ADB4819"/>
    <w:rsid w:val="1BFF4F51"/>
    <w:rsid w:val="1DB25B36"/>
    <w:rsid w:val="1E3E0571"/>
    <w:rsid w:val="1EBD751D"/>
    <w:rsid w:val="1F117155"/>
    <w:rsid w:val="1F5035C9"/>
    <w:rsid w:val="1FAC4C12"/>
    <w:rsid w:val="1FFF7B04"/>
    <w:rsid w:val="204B45CE"/>
    <w:rsid w:val="2158471A"/>
    <w:rsid w:val="223777C0"/>
    <w:rsid w:val="228B7E87"/>
    <w:rsid w:val="22B36C43"/>
    <w:rsid w:val="249922EF"/>
    <w:rsid w:val="24B96862"/>
    <w:rsid w:val="25184CBF"/>
    <w:rsid w:val="25643920"/>
    <w:rsid w:val="25705B71"/>
    <w:rsid w:val="25D11595"/>
    <w:rsid w:val="269D15A4"/>
    <w:rsid w:val="27197C23"/>
    <w:rsid w:val="27C526C8"/>
    <w:rsid w:val="27D956F0"/>
    <w:rsid w:val="288C6338"/>
    <w:rsid w:val="28BA74C6"/>
    <w:rsid w:val="2A864CBB"/>
    <w:rsid w:val="2A997993"/>
    <w:rsid w:val="2AE3634B"/>
    <w:rsid w:val="2DBB222D"/>
    <w:rsid w:val="2E4D4A22"/>
    <w:rsid w:val="2FFA2F2D"/>
    <w:rsid w:val="30452B84"/>
    <w:rsid w:val="318669F5"/>
    <w:rsid w:val="31D40AAE"/>
    <w:rsid w:val="332A6DF3"/>
    <w:rsid w:val="340F71F6"/>
    <w:rsid w:val="35831E3A"/>
    <w:rsid w:val="35A95619"/>
    <w:rsid w:val="376874DE"/>
    <w:rsid w:val="37BE706F"/>
    <w:rsid w:val="381119B2"/>
    <w:rsid w:val="3A29194C"/>
    <w:rsid w:val="3BC82016"/>
    <w:rsid w:val="3BD871B8"/>
    <w:rsid w:val="3C850B8E"/>
    <w:rsid w:val="3CF55A87"/>
    <w:rsid w:val="3D711112"/>
    <w:rsid w:val="400E0E9A"/>
    <w:rsid w:val="40722B33"/>
    <w:rsid w:val="424F640C"/>
    <w:rsid w:val="429A727D"/>
    <w:rsid w:val="42BB71A0"/>
    <w:rsid w:val="4322216B"/>
    <w:rsid w:val="442D374E"/>
    <w:rsid w:val="443F1622"/>
    <w:rsid w:val="47C81D18"/>
    <w:rsid w:val="49616C39"/>
    <w:rsid w:val="4AEC0909"/>
    <w:rsid w:val="4B9009B5"/>
    <w:rsid w:val="4C0B38BC"/>
    <w:rsid w:val="4C0B7195"/>
    <w:rsid w:val="4D3B293C"/>
    <w:rsid w:val="5035480A"/>
    <w:rsid w:val="51B40312"/>
    <w:rsid w:val="56552A05"/>
    <w:rsid w:val="57CC144D"/>
    <w:rsid w:val="589C31C0"/>
    <w:rsid w:val="5C2D5261"/>
    <w:rsid w:val="5FC15189"/>
    <w:rsid w:val="6053523D"/>
    <w:rsid w:val="609C44FD"/>
    <w:rsid w:val="62B20F12"/>
    <w:rsid w:val="63973295"/>
    <w:rsid w:val="641E7445"/>
    <w:rsid w:val="649E1F3D"/>
    <w:rsid w:val="68E00D76"/>
    <w:rsid w:val="6A621A06"/>
    <w:rsid w:val="6CD72490"/>
    <w:rsid w:val="70953379"/>
    <w:rsid w:val="70BA6A2B"/>
    <w:rsid w:val="71452C49"/>
    <w:rsid w:val="73224148"/>
    <w:rsid w:val="73C85B40"/>
    <w:rsid w:val="740816F9"/>
    <w:rsid w:val="741E20E8"/>
    <w:rsid w:val="745D4ADD"/>
    <w:rsid w:val="772860B1"/>
    <w:rsid w:val="77D818F2"/>
    <w:rsid w:val="78D03AD6"/>
    <w:rsid w:val="79E24B01"/>
    <w:rsid w:val="7A3F679B"/>
    <w:rsid w:val="7B4102B0"/>
    <w:rsid w:val="7BBF218B"/>
    <w:rsid w:val="7F0C59E2"/>
    <w:rsid w:val="7F7FF2D6"/>
    <w:rsid w:val="7FC66911"/>
    <w:rsid w:val="7FF802FC"/>
    <w:rsid w:val="BCFC3FB8"/>
    <w:rsid w:val="BDF5A98B"/>
    <w:rsid w:val="DA7FB9F2"/>
    <w:rsid w:val="DFEBD227"/>
    <w:rsid w:val="ED471BA6"/>
    <w:rsid w:val="F7FBE0C5"/>
    <w:rsid w:val="F9ED97F6"/>
    <w:rsid w:val="FDFBF05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semiHidden/>
    <w:unhideWhenUsed/>
    <w:qFormat/>
    <w:uiPriority w:val="99"/>
    <w:rPr>
      <w:sz w:val="18"/>
      <w:szCs w:val="18"/>
    </w:rPr>
  </w:style>
  <w:style w:type="paragraph" w:styleId="5">
    <w:name w:val="footer"/>
    <w:basedOn w:val="1"/>
    <w:link w:val="10"/>
    <w:qFormat/>
    <w:uiPriority w:val="99"/>
    <w:pPr>
      <w:tabs>
        <w:tab w:val="center" w:pos="4153"/>
        <w:tab w:val="right" w:pos="8306"/>
      </w:tabs>
      <w:snapToGrid w:val="0"/>
      <w:jc w:val="left"/>
    </w:pPr>
    <w:rPr>
      <w:sz w:val="18"/>
      <w:szCs w:val="18"/>
    </w:rPr>
  </w:style>
  <w:style w:type="character" w:styleId="8">
    <w:name w:val="page number"/>
    <w:basedOn w:val="7"/>
    <w:qFormat/>
    <w:uiPriority w:val="99"/>
  </w:style>
  <w:style w:type="character" w:customStyle="1" w:styleId="9">
    <w:name w:val="标题 2 Char"/>
    <w:basedOn w:val="7"/>
    <w:link w:val="2"/>
    <w:semiHidden/>
    <w:qFormat/>
    <w:uiPriority w:val="9"/>
    <w:rPr>
      <w:rFonts w:asciiTheme="majorHAnsi" w:hAnsiTheme="majorHAnsi" w:eastAsiaTheme="majorEastAsia" w:cstheme="majorBidi"/>
      <w:b/>
      <w:bCs/>
      <w:sz w:val="32"/>
      <w:szCs w:val="32"/>
    </w:rPr>
  </w:style>
  <w:style w:type="character" w:customStyle="1" w:styleId="10">
    <w:name w:val="页脚 Char"/>
    <w:basedOn w:val="7"/>
    <w:link w:val="5"/>
    <w:semiHidden/>
    <w:qFormat/>
    <w:uiPriority w:val="99"/>
    <w:rPr>
      <w:rFonts w:cs="Calibri"/>
      <w:sz w:val="18"/>
      <w:szCs w:val="18"/>
    </w:rPr>
  </w:style>
  <w:style w:type="character" w:customStyle="1" w:styleId="11">
    <w:name w:val="批注框文本 Char"/>
    <w:basedOn w:val="7"/>
    <w:link w:val="4"/>
    <w:semiHidden/>
    <w:qFormat/>
    <w:uiPriority w:val="99"/>
    <w:rPr>
      <w:rFonts w:ascii="Calibri" w:hAnsi="Calibri" w:cs="Calibri"/>
      <w:kern w:val="2"/>
      <w:sz w:val="18"/>
      <w:szCs w:val="18"/>
    </w:rPr>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row_tree_level_4"/>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14</Pages>
  <Words>4824</Words>
  <Characters>5188</Characters>
  <Lines>3</Lines>
  <Paragraphs>5</Paragraphs>
  <TotalTime>0</TotalTime>
  <ScaleCrop>false</ScaleCrop>
  <LinksUpToDate>false</LinksUpToDate>
  <CharactersWithSpaces>5280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2018-01-18T02:36:00Z</dcterms:created>
  <dc:creator>Administrator</dc:creator>
  <cp:lastModifiedBy>jdzadmin</cp:lastModifiedBy>
  <cp:lastPrinted>2021-05-27T02:23:00Z</cp:lastPrinted>
  <dcterms:modified xsi:type="dcterms:W3CDTF">2023-05-16T16:44:31Z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C62ECDE5A2DE4365A105DEFCACB6A678</vt:lpwstr>
  </property>
</Properties>
</file>