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B8A7D">
      <w:pPr>
        <w:rPr>
          <w:rFonts w:hint="eastAsia" w:cs="Times New Roman"/>
        </w:rPr>
      </w:pPr>
    </w:p>
    <w:p w14:paraId="09DDB89E">
      <w:pPr>
        <w:rPr>
          <w:rFonts w:hint="eastAsia" w:cs="Times New Roman"/>
        </w:rPr>
      </w:pPr>
    </w:p>
    <w:p w14:paraId="2EC8E44A">
      <w:pPr>
        <w:rPr>
          <w:rFonts w:hint="eastAsia" w:cs="Times New Roman"/>
        </w:rPr>
      </w:pPr>
    </w:p>
    <w:p w14:paraId="47307617">
      <w:pPr>
        <w:rPr>
          <w:rFonts w:hint="eastAsia" w:cs="Times New Roman"/>
        </w:rPr>
      </w:pPr>
    </w:p>
    <w:p w14:paraId="46258351">
      <w:pPr>
        <w:rPr>
          <w:rFonts w:hint="eastAsia" w:cs="Times New Roman"/>
        </w:rPr>
      </w:pPr>
    </w:p>
    <w:p w14:paraId="5D294BF8">
      <w:pPr>
        <w:rPr>
          <w:rFonts w:hint="eastAsia" w:cs="Times New Roman"/>
        </w:rPr>
      </w:pPr>
    </w:p>
    <w:tbl>
      <w:tblPr>
        <w:tblStyle w:val="4"/>
        <w:tblW w:w="8199" w:type="dxa"/>
        <w:jc w:val="center"/>
        <w:tblLayout w:type="fixed"/>
        <w:tblCellMar>
          <w:top w:w="0" w:type="dxa"/>
          <w:left w:w="108" w:type="dxa"/>
          <w:bottom w:w="0" w:type="dxa"/>
          <w:right w:w="108" w:type="dxa"/>
        </w:tblCellMar>
      </w:tblPr>
      <w:tblGrid>
        <w:gridCol w:w="6399"/>
        <w:gridCol w:w="1800"/>
      </w:tblGrid>
      <w:tr w14:paraId="7E5A833A">
        <w:tblPrEx>
          <w:tblCellMar>
            <w:top w:w="0" w:type="dxa"/>
            <w:left w:w="108" w:type="dxa"/>
            <w:bottom w:w="0" w:type="dxa"/>
            <w:right w:w="108" w:type="dxa"/>
          </w:tblCellMar>
        </w:tblPrEx>
        <w:trPr>
          <w:trHeight w:val="789" w:hRule="atLeast"/>
          <w:jc w:val="center"/>
        </w:trPr>
        <w:tc>
          <w:tcPr>
            <w:tcW w:w="6399" w:type="dxa"/>
            <w:tcBorders>
              <w:top w:val="nil"/>
              <w:left w:val="nil"/>
              <w:bottom w:val="nil"/>
              <w:right w:val="nil"/>
            </w:tcBorders>
            <w:noWrap w:val="0"/>
            <w:vAlign w:val="top"/>
          </w:tcPr>
          <w:p w14:paraId="37289C5D">
            <w:pPr>
              <w:widowControl/>
              <w:adjustRightInd w:val="0"/>
              <w:snapToGrid w:val="0"/>
              <w:spacing w:after="200"/>
              <w:rPr>
                <w:rFonts w:ascii="宋体" w:cs="Times New Roman"/>
                <w:b/>
                <w:bCs/>
                <w:kern w:val="0"/>
                <w:sz w:val="84"/>
                <w:szCs w:val="84"/>
              </w:rPr>
            </w:pPr>
            <w:r>
              <w:pict>
                <v:shape id="AutoShape 2" o:spid="_x0000_s1026" o:spt="136" type="#_x0000_t136" style="position:absolute;left:0pt;margin-left:-3.5pt;margin-top:6.25pt;height:49.05pt;width:317.7pt;z-index:251660288;mso-width-relative:page;mso-height-relative:page;" fillcolor="#FF0000" filled="t" stroked="t" coordsize="21600,21600" adj="10800">
                  <v:path/>
                  <v:fill on="t" color2="#FFFFFF" opacity="53739f" focussize="0,0"/>
                  <v:stroke color="#FF0000"/>
                  <v:imagedata o:title=""/>
                  <o:lock v:ext="edit" aspectratio="f"/>
                  <v:textpath on="t" fitshape="t" fitpath="t" trim="t" xscale="f" string="景德镇市农业农村局" style="font-family:方正大标宋简体;font-size:60pt;v-text-align:center;"/>
                </v:shape>
              </w:pict>
            </w:r>
          </w:p>
        </w:tc>
        <w:tc>
          <w:tcPr>
            <w:tcW w:w="1800" w:type="dxa"/>
            <w:vMerge w:val="restart"/>
            <w:tcBorders>
              <w:top w:val="nil"/>
              <w:left w:val="nil"/>
              <w:bottom w:val="nil"/>
              <w:right w:val="nil"/>
            </w:tcBorders>
            <w:noWrap w:val="0"/>
            <w:vAlign w:val="center"/>
          </w:tcPr>
          <w:p w14:paraId="0C6472CB">
            <w:pPr>
              <w:widowControl/>
              <w:spacing w:after="200" w:line="276" w:lineRule="auto"/>
              <w:jc w:val="center"/>
              <w:rPr>
                <w:rFonts w:ascii="宋体" w:cs="Times New Roman"/>
                <w:b/>
                <w:bCs/>
                <w:kern w:val="0"/>
                <w:sz w:val="76"/>
                <w:szCs w:val="76"/>
              </w:rPr>
            </w:pPr>
            <w:r>
              <w:pict>
                <v:shape id="_x0000_s1027" o:spid="_x0000_s1027" o:spt="136" type="#_x0000_t136" style="position:absolute;left:0pt;margin-left:2.05pt;margin-top:32.7pt;height:58.75pt;width:80.1pt;z-index:251662336;mso-width-relative:page;mso-height-relative:page;" fillcolor="#FF0000" filled="t" coordsize="21600,21600">
                  <v:path/>
                  <v:fill on="t" opacity="53739f" focussize="0,0"/>
                  <v:stroke color="#FF0000"/>
                  <v:imagedata o:title=""/>
                  <o:lock v:ext="edit"/>
                  <v:textpath on="t" fitshape="t" fitpath="t" trim="t" xscale="f" string="文件" style="font-family:方正大标宋简体;font-size:60pt;font-weight:bold;v-text-align:center;"/>
                </v:shape>
              </w:pict>
            </w:r>
          </w:p>
        </w:tc>
      </w:tr>
      <w:tr w14:paraId="3A34FCA7">
        <w:tblPrEx>
          <w:tblCellMar>
            <w:top w:w="0" w:type="dxa"/>
            <w:left w:w="108" w:type="dxa"/>
            <w:bottom w:w="0" w:type="dxa"/>
            <w:right w:w="108" w:type="dxa"/>
          </w:tblCellMar>
        </w:tblPrEx>
        <w:trPr>
          <w:trHeight w:val="945" w:hRule="atLeast"/>
          <w:jc w:val="center"/>
        </w:trPr>
        <w:tc>
          <w:tcPr>
            <w:tcW w:w="6399" w:type="dxa"/>
            <w:tcBorders>
              <w:top w:val="nil"/>
              <w:left w:val="nil"/>
              <w:bottom w:val="nil"/>
              <w:right w:val="nil"/>
            </w:tcBorders>
            <w:noWrap w:val="0"/>
            <w:vAlign w:val="top"/>
          </w:tcPr>
          <w:p w14:paraId="49313DE8">
            <w:pPr>
              <w:widowControl/>
              <w:adjustRightInd w:val="0"/>
              <w:snapToGrid w:val="0"/>
              <w:spacing w:after="200"/>
              <w:rPr>
                <w:rFonts w:ascii="宋体" w:cs="Times New Roman"/>
                <w:b/>
                <w:bCs/>
                <w:kern w:val="0"/>
                <w:sz w:val="84"/>
                <w:szCs w:val="84"/>
              </w:rPr>
            </w:pPr>
            <w:r>
              <w:pict>
                <v:shape id="_x0000_s1028" o:spid="_x0000_s1028" o:spt="136" type="#_x0000_t136" style="position:absolute;left:0pt;margin-left:-3.5pt;margin-top:4.75pt;height:46pt;width:317.7pt;z-index:251661312;mso-width-relative:page;mso-height-relative:page;" fillcolor="#FF0000" filled="t" stroked="t" coordsize="21600,21600" adj="10800">
                  <v:path/>
                  <v:fill on="t" color2="#FFFFFF" opacity="53739f" focussize="0,0"/>
                  <v:stroke color="#FF0000"/>
                  <v:imagedata o:title=""/>
                  <o:lock v:ext="edit" aspectratio="f"/>
                  <v:textpath on="t" fitshape="t" fitpath="t" trim="t" xscale="f" string="景德镇市自然资源和规划局" style="font-family:方正大标宋简体;font-size:60pt;v-text-align:center;"/>
                </v:shape>
              </w:pict>
            </w:r>
          </w:p>
        </w:tc>
        <w:tc>
          <w:tcPr>
            <w:tcW w:w="1800" w:type="dxa"/>
            <w:vMerge w:val="continue"/>
            <w:tcBorders>
              <w:top w:val="nil"/>
              <w:left w:val="nil"/>
              <w:bottom w:val="nil"/>
              <w:right w:val="nil"/>
            </w:tcBorders>
            <w:noWrap w:val="0"/>
            <w:vAlign w:val="center"/>
          </w:tcPr>
          <w:p w14:paraId="0DD02D7F">
            <w:pPr>
              <w:widowControl/>
              <w:jc w:val="left"/>
              <w:rPr>
                <w:rFonts w:ascii="黑体" w:hAnsi="Tahoma" w:eastAsia="黑体" w:cs="Times New Roman"/>
                <w:b/>
                <w:bCs/>
                <w:kern w:val="0"/>
                <w:sz w:val="72"/>
                <w:szCs w:val="72"/>
              </w:rPr>
            </w:pPr>
          </w:p>
        </w:tc>
      </w:tr>
    </w:tbl>
    <w:p w14:paraId="64447225">
      <w:pPr>
        <w:pStyle w:val="2"/>
        <w:widowControl/>
        <w:jc w:val="center"/>
        <w:rPr>
          <w:rFonts w:hint="eastAsia" w:ascii="仿宋" w:hAnsi="仿宋" w:eastAsia="仿宋" w:cs="仿宋"/>
          <w:b/>
          <w:bCs/>
          <w:sz w:val="32"/>
          <w:szCs w:val="32"/>
          <w:lang w:val="en-US"/>
        </w:rPr>
      </w:pPr>
    </w:p>
    <w:p w14:paraId="2CC30792">
      <w:pPr>
        <w:pStyle w:val="2"/>
        <w:widowControl/>
        <w:jc w:val="center"/>
        <w:rPr>
          <w:rFonts w:hint="eastAsia" w:ascii="仿宋" w:hAnsi="仿宋" w:eastAsia="仿宋" w:cs="仿宋"/>
          <w:b/>
          <w:bCs/>
          <w:sz w:val="32"/>
          <w:szCs w:val="32"/>
          <w:lang w:val="en-US"/>
        </w:rPr>
      </w:pPr>
    </w:p>
    <w:p w14:paraId="7271B090">
      <w:pPr>
        <w:pStyle w:val="2"/>
        <w:widowControl/>
        <w:jc w:val="center"/>
        <w:rPr>
          <w:rFonts w:hint="eastAsia" w:ascii="仿宋" w:hAnsi="仿宋" w:eastAsia="仿宋" w:cs="仿宋"/>
          <w:b/>
          <w:bCs/>
          <w:sz w:val="32"/>
          <w:szCs w:val="32"/>
          <w:lang w:val="en-US"/>
        </w:rPr>
      </w:pPr>
      <w:r>
        <w:rPr>
          <w:rFonts w:hint="eastAsia" w:ascii="仿宋" w:hAnsi="仿宋" w:eastAsia="仿宋" w:cs="仿宋"/>
          <w:sz w:val="32"/>
          <w:szCs w:val="32"/>
          <w:lang w:eastAsia="zh-CN"/>
        </w:rPr>
        <w:t>景农字〔</w:t>
      </w:r>
      <w:r>
        <w:rPr>
          <w:rFonts w:hint="eastAsia" w:ascii="仿宋" w:hAnsi="仿宋" w:eastAsia="仿宋" w:cs="仿宋"/>
          <w:sz w:val="32"/>
          <w:szCs w:val="32"/>
          <w:lang w:val="en-US"/>
        </w:rPr>
        <w:t>2025</w:t>
      </w:r>
      <w:r>
        <w:rPr>
          <w:rFonts w:hint="eastAsia" w:ascii="仿宋" w:hAnsi="仿宋" w:eastAsia="仿宋" w:cs="仿宋"/>
          <w:sz w:val="32"/>
          <w:szCs w:val="32"/>
          <w:lang w:eastAsia="zh-CN"/>
        </w:rPr>
        <w:t>〕</w:t>
      </w:r>
      <w:r>
        <w:rPr>
          <w:rFonts w:hint="eastAsia" w:cs="仿宋"/>
          <w:sz w:val="32"/>
          <w:szCs w:val="32"/>
          <w:lang w:val="en-US" w:eastAsia="zh-CN"/>
        </w:rPr>
        <w:t>74</w:t>
      </w:r>
      <w:r>
        <w:rPr>
          <w:rFonts w:hint="eastAsia" w:ascii="仿宋" w:hAnsi="仿宋" w:eastAsia="仿宋" w:cs="仿宋"/>
          <w:sz w:val="32"/>
          <w:szCs w:val="32"/>
          <w:lang w:eastAsia="zh-CN"/>
        </w:rPr>
        <w:t>号</w:t>
      </w:r>
    </w:p>
    <w:p w14:paraId="368DAA26">
      <w:pPr>
        <w:pStyle w:val="3"/>
        <w:spacing w:before="0" w:beforeAutospacing="0" w:after="0" w:afterAutospacing="0"/>
        <w:jc w:val="center"/>
        <w:rPr>
          <w:rFonts w:ascii="仿宋_GB2312" w:hAnsi="宋体" w:eastAsia="仿宋_GB2312" w:cs="Times New Roman"/>
          <w:b/>
          <w:bCs/>
        </w:rPr>
      </w:pPr>
      <w: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24130</wp:posOffset>
                </wp:positionV>
                <wp:extent cx="5715000" cy="29845"/>
                <wp:effectExtent l="0" t="13970" r="0" b="32385"/>
                <wp:wrapNone/>
                <wp:docPr id="1" name="直接连接符 1"/>
                <wp:cNvGraphicFramePr/>
                <a:graphic xmlns:a="http://schemas.openxmlformats.org/drawingml/2006/main">
                  <a:graphicData uri="http://schemas.microsoft.com/office/word/2010/wordprocessingShape">
                    <wps:wsp>
                      <wps:cNvCnPr/>
                      <wps:spPr>
                        <a:xfrm flipV="1">
                          <a:off x="0" y="0"/>
                          <a:ext cx="5715000" cy="2984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15pt;margin-top:1.9pt;height:2.35pt;width:450pt;z-index:251659264;mso-width-relative:page;mso-height-relative:page;" filled="f" stroked="t" coordsize="21600,21600" o:gfxdata="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vfji3ZAAAABgEAAA8AAAAAAAAAAQAgAAAAIgAAAGRycy9k&#10;b3ducmV2LnhtbFBLAQIUABQAAAAIAIdO4kDZVVq2AQIAAPMDAAAOAAAAAAAAAAEAIAAAACgBAABk&#10;cnMvZTJvRG9jLnhtbFBLBQYAAAAABgAGAFkBAACbBQAAAAA=&#10;">
                <v:fill on="f" focussize="0,0"/>
                <v:stroke weight="2.25pt" color="#FF0000" joinstyle="round"/>
                <v:imagedata o:title=""/>
                <o:lock v:ext="edit" aspectratio="f"/>
              </v:line>
            </w:pict>
          </mc:Fallback>
        </mc:AlternateContent>
      </w:r>
    </w:p>
    <w:p w14:paraId="62861C76">
      <w:pPr>
        <w:jc w:val="cente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14:textFill>
            <w14:solidFill>
              <w14:schemeClr w14:val="tx1"/>
            </w14:solidFill>
          </w14:textFill>
        </w:rPr>
        <w:t>关于进一步</w:t>
      </w: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强化完善</w:t>
      </w:r>
      <w:r>
        <w:rPr>
          <w:rFonts w:hint="eastAsia" w:asciiTheme="majorEastAsia" w:hAnsiTheme="majorEastAsia" w:eastAsiaTheme="majorEastAsia" w:cstheme="majorEastAsia"/>
          <w:b/>
          <w:bCs/>
          <w:color w:val="000000" w:themeColor="text1"/>
          <w:sz w:val="44"/>
          <w:szCs w:val="44"/>
          <w14:textFill>
            <w14:solidFill>
              <w14:schemeClr w14:val="tx1"/>
            </w14:solidFill>
          </w14:textFill>
        </w:rPr>
        <w:t>“大棚房”</w:t>
      </w: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日常监管</w:t>
      </w:r>
    </w:p>
    <w:p w14:paraId="57F25BAA">
      <w:pPr>
        <w:jc w:val="cente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相关机制的通知</w:t>
      </w:r>
    </w:p>
    <w:p w14:paraId="1834E54B">
      <w:pP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bookmarkStart w:id="0" w:name="_GoBack"/>
      <w:bookmarkEnd w:id="0"/>
    </w:p>
    <w:p w14:paraId="036F90C9">
      <w:pP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各县（市、区）农业农村局、自然资源和规划局、昌南新区社会事业管理局：</w:t>
      </w:r>
    </w:p>
    <w:p w14:paraId="47FDCE14">
      <w:p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为持续落实农业农村部、自然资源部关于“大棚房”问题常态化监管属地责任，健全常态长效监管机制的有关要求，根据省农业农村厅和省自然资源厅印发的《关于印发〈“大棚房”问题清理整治细化实化常态化工作方案〉的通知》（赣农厅办字〔2025〕21号）文件精神，落实好“大棚房”日常巡查信息报送机制的具体要求。现根据我市工作实际，建立完善“大棚房”日常监管相关机制如下：</w:t>
      </w:r>
    </w:p>
    <w:p w14:paraId="4A5AC730">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一、</w:t>
      </w:r>
      <w:r>
        <w:rPr>
          <w:rFonts w:hint="eastAsia" w:ascii="黑体" w:hAnsi="黑体" w:eastAsia="黑体" w:cs="黑体"/>
          <w:color w:val="000000" w:themeColor="text1"/>
          <w:sz w:val="32"/>
          <w:szCs w:val="32"/>
          <w:lang w:val="en-US" w:eastAsia="zh-CN"/>
          <w14:textFill>
            <w14:solidFill>
              <w14:schemeClr w14:val="tx1"/>
            </w14:solidFill>
          </w14:textFill>
        </w:rPr>
        <w:t>持续完善“大棚房”基础台账</w:t>
      </w:r>
    </w:p>
    <w:p w14:paraId="42937DC0">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2018年以来，</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全市各级</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先后组织开展3次集中清理整治，严肃查处了一批占用耕地以设施农业为名搞非农经营的违法违规行为，有效遏制了“大棚房”问题蔓延态势。但“大棚房”问题具有长期性、隐蔽性、复杂性，稍有放松就容易出现点上的反弹回潮</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。为建立长效监管机制，请各县（市、区）农业农村和自规部门，全面汇总形成近3年来设施农用地和经批准的农业园区的相关基础数据台账，该项工作滚动开展，每半年修订完善一次。</w:t>
      </w:r>
    </w:p>
    <w:p w14:paraId="0DF13368">
      <w:pPr>
        <w:numPr>
          <w:ilvl w:val="0"/>
          <w:numId w:val="0"/>
        </w:numPr>
        <w:ind w:firstLine="640" w:firstLineChars="2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二、动态加强</w:t>
      </w:r>
      <w:r>
        <w:rPr>
          <w:rFonts w:hint="default" w:ascii="黑体" w:hAnsi="黑体" w:eastAsia="黑体" w:cs="黑体"/>
          <w:color w:val="000000" w:themeColor="text1"/>
          <w:kern w:val="2"/>
          <w:sz w:val="32"/>
          <w:szCs w:val="32"/>
          <w:lang w:val="en-US" w:eastAsia="zh-CN" w:bidi="ar-SA"/>
          <w14:textFill>
            <w14:solidFill>
              <w14:schemeClr w14:val="tx1"/>
            </w14:solidFill>
          </w14:textFill>
        </w:rPr>
        <w:t>“大棚房”突出问题</w:t>
      </w:r>
      <w:r>
        <w:rPr>
          <w:rFonts w:hint="eastAsia" w:ascii="黑体" w:hAnsi="黑体" w:eastAsia="黑体" w:cs="黑体"/>
          <w:color w:val="000000" w:themeColor="text1"/>
          <w:kern w:val="2"/>
          <w:sz w:val="32"/>
          <w:szCs w:val="32"/>
          <w:lang w:val="en-US" w:eastAsia="zh-CN" w:bidi="ar-SA"/>
          <w14:textFill>
            <w14:solidFill>
              <w14:schemeClr w14:val="tx1"/>
            </w14:solidFill>
          </w14:textFill>
        </w:rPr>
        <w:t>日常监管</w:t>
      </w:r>
    </w:p>
    <w:p w14:paraId="0EC74F60">
      <w:pPr>
        <w:numPr>
          <w:ilvl w:val="0"/>
          <w:numId w:val="0"/>
        </w:numPr>
        <w:ind w:firstLine="640" w:firstLineChars="2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当前，做好“</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大棚房”问题</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排查处置已是常态化工作，重在日常，重在经常。各</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县（市、区）农业农村</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和自规部门，要</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聚焦“大棚房”突出问题，构建全链条日常监管机制</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，建立“大棚房”排查整治台账，针对“六项问题”逐项整治化解</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。一是</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严查瞒报漏报</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农业农村和自规</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部门</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要主动</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运用技术开展常态化巡查，织密排查网防漏报；二是</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严肃整改的全流程管理</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对往期发现问题以</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“四不两直”</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方式</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突击检查，重点</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排</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查备案手续与农业用途恢复</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情况，</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严防反弹回潮、</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整改</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不彻底</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。对于</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虚假整改</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边改边犯、死灰复燃</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等</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问题</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，一经发现，毫不手软，严肃</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追责；三是建</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立</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新增问题预警机制，畅通举报渠道，</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一经发现，立即</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处置</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，确保把问题处置在萌芽状态</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四是</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进一步强化日常巡查监管，及时发现、处置“大棚房”问题线索，及时上报有关信息，按</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省级《关于建立“大棚房”问题日常巡查信息报送机制的通知》的相关要求，每季度</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报送问题汇总信息，遇新情况、重大典型问题则随时报告。</w:t>
      </w:r>
    </w:p>
    <w:p w14:paraId="6DB4CCF8">
      <w:pPr>
        <w:numPr>
          <w:ilvl w:val="0"/>
          <w:numId w:val="0"/>
        </w:numPr>
        <w:ind w:firstLine="640" w:firstLineChars="2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三、建立健全</w:t>
      </w:r>
      <w:r>
        <w:rPr>
          <w:rFonts w:hint="default" w:ascii="黑体" w:hAnsi="黑体" w:eastAsia="黑体" w:cs="黑体"/>
          <w:color w:val="000000" w:themeColor="text1"/>
          <w:kern w:val="2"/>
          <w:sz w:val="32"/>
          <w:szCs w:val="32"/>
          <w:lang w:val="en-US" w:eastAsia="zh-CN" w:bidi="ar-SA"/>
          <w14:textFill>
            <w14:solidFill>
              <w14:schemeClr w14:val="tx1"/>
            </w14:solidFill>
          </w14:textFill>
        </w:rPr>
        <w:t>“大棚房”问题</w:t>
      </w:r>
      <w:r>
        <w:rPr>
          <w:rFonts w:hint="eastAsia" w:ascii="黑体" w:hAnsi="黑体" w:eastAsia="黑体" w:cs="黑体"/>
          <w:color w:val="000000" w:themeColor="text1"/>
          <w:kern w:val="2"/>
          <w:sz w:val="32"/>
          <w:szCs w:val="32"/>
          <w:lang w:val="en-US" w:eastAsia="zh-CN" w:bidi="ar-SA"/>
          <w14:textFill>
            <w14:solidFill>
              <w14:schemeClr w14:val="tx1"/>
            </w14:solidFill>
          </w14:textFill>
        </w:rPr>
        <w:t>常态化监督管理</w:t>
      </w:r>
      <w:r>
        <w:rPr>
          <w:rFonts w:hint="default" w:ascii="黑体" w:hAnsi="黑体" w:eastAsia="黑体" w:cs="黑体"/>
          <w:color w:val="000000" w:themeColor="text1"/>
          <w:kern w:val="2"/>
          <w:sz w:val="32"/>
          <w:szCs w:val="32"/>
          <w:lang w:val="en-US" w:eastAsia="zh-CN" w:bidi="ar-SA"/>
          <w14:textFill>
            <w14:solidFill>
              <w14:schemeClr w14:val="tx1"/>
            </w14:solidFill>
          </w14:textFill>
        </w:rPr>
        <w:t>机制</w:t>
      </w:r>
    </w:p>
    <w:p w14:paraId="574D1758">
      <w:pPr>
        <w:numPr>
          <w:ilvl w:val="0"/>
          <w:numId w:val="0"/>
        </w:numPr>
        <w:ind w:firstLine="640" w:firstLineChars="2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各县（市、区）要常态化开展</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“大棚房”日常监管</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巡查</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，用好信息化手段提升常态化监管效率，</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充分整合各级各部门力量，每年</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对辖区内用于种植生产的农业设施、备案的设施农业用地开展一次全覆盖巡查，做到早发现、早制止、早整改。要慎重稳妥、严谨准确认定“大棚房”问题性质，把准标准，严格程序，既不能随意扩大范围，也不能丝毫放松要求，对确属“大棚房”问题的要从严从快整治，设定明确的整改时限，定期开展“回头看”，依法依纪从严查处相关违法违规主体。</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各县（市、区）要严格对照中央和省级关于</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“大棚房”</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五项长效机制</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一是</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压实属地责任</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履行设施农业监管职责，规范土地流转管理；</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农业农村和自规部门要发挥牵头抓总的作用，及时与各有关部门主动对接</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，构建协同监管体系，形成工作合力。</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二是落实信息化监管，完善“设施农用地”台账和“大棚房”排查整治台账，及时整理更新；三是建立健全监督检查机制，各县（市、区）要及时制定具体监督检查办法，完善日常监督机制，发现问题及时移交；四是</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强化社会监督</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广泛宣传土地管理法律法规，加大典型案件曝光力度</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根据省级</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要求</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公开设施农业用地备案及台账信息（每年至少</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1</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次）</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，要立即</w:t>
      </w:r>
      <w:r>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t>建立举报制度，公布电话与信箱，畅通渠道并及时核实处理违法违规行为</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；五是开展服务保障，各县（市、区）要加大在年度新增建筑用地指标、设施农业用地服务、设施农业生产的指导服务等方面的力度，夯实设施农业有序发展的基础。</w:t>
      </w:r>
    </w:p>
    <w:p w14:paraId="074524BD">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联系人：景德镇市农业农村局 刘艺 0798-8524643；景德镇市自然资源和规划局 汪涛 0798-7127822</w:t>
      </w:r>
    </w:p>
    <w:p w14:paraId="317ED9CF">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附件: 1.设施农用地信息备案表</w:t>
      </w:r>
    </w:p>
    <w:p w14:paraId="6F3D62A7">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2.“大棚房”问题整治排查情况表</w:t>
      </w:r>
    </w:p>
    <w:p w14:paraId="18CE0361">
      <w:pPr>
        <w:numPr>
          <w:ilvl w:val="0"/>
          <w:numId w:val="0"/>
        </w:numPr>
        <w:ind w:firstLine="320" w:firstLineChars="1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30C2E7AB">
      <w:pPr>
        <w:numPr>
          <w:ilvl w:val="0"/>
          <w:numId w:val="0"/>
        </w:numPr>
        <w:ind w:firstLine="320" w:firstLineChars="1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7E56277A">
      <w:pPr>
        <w:numPr>
          <w:ilvl w:val="0"/>
          <w:numId w:val="0"/>
        </w:numPr>
        <w:ind w:firstLine="320" w:firstLineChars="1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71C3A086">
      <w:pPr>
        <w:numPr>
          <w:ilvl w:val="0"/>
          <w:numId w:val="0"/>
        </w:numPr>
        <w:ind w:firstLine="320" w:firstLineChars="1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景德镇市农业农村局       景德镇市自然资源和规划局</w:t>
      </w:r>
    </w:p>
    <w:p w14:paraId="3B430777">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1AF86A6B">
      <w:pPr>
        <w:numPr>
          <w:ilvl w:val="0"/>
          <w:numId w:val="0"/>
        </w:numPr>
        <w:ind w:firstLine="640" w:firstLineChars="200"/>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26DAC63E">
      <w:pPr>
        <w:numPr>
          <w:ilvl w:val="0"/>
          <w:numId w:val="0"/>
        </w:numPr>
        <w:ind w:firstLine="640" w:firstLineChars="200"/>
        <w:jc w:val="right"/>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2025年9月11日</w:t>
      </w:r>
    </w:p>
    <w:p w14:paraId="48FBEA13">
      <w:pPr>
        <w:numPr>
          <w:ilvl w:val="0"/>
          <w:numId w:val="0"/>
        </w:numPr>
        <w:jc w:val="both"/>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0D590B9A">
      <w:pPr>
        <w:numPr>
          <w:ilvl w:val="0"/>
          <w:numId w:val="0"/>
        </w:numPr>
        <w:jc w:val="both"/>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1D529FB8">
      <w:pPr>
        <w:keepNext w:val="0"/>
        <w:keepLines w:val="0"/>
        <w:widowControl w:val="0"/>
        <w:suppressLineNumbers w:val="0"/>
        <w:spacing w:before="0" w:beforeAutospacing="0" w:after="0" w:afterAutospacing="0" w:line="560" w:lineRule="exact"/>
        <w:ind w:left="0" w:right="0"/>
        <w:jc w:val="both"/>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kern w:val="2"/>
          <w:sz w:val="32"/>
          <w:szCs w:val="32"/>
          <w:u w:val="single"/>
          <w:lang w:val="en-US" w:eastAsia="zh-CN" w:bidi="ar"/>
        </w:rPr>
        <w:t xml:space="preserve">                                                        </w:t>
      </w:r>
    </w:p>
    <w:p w14:paraId="0F00FB57">
      <w:pPr>
        <w:numPr>
          <w:ilvl w:val="0"/>
          <w:numId w:val="0"/>
        </w:numPr>
        <w:jc w:val="both"/>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kern w:val="2"/>
          <w:sz w:val="32"/>
          <w:szCs w:val="32"/>
          <w:u w:val="single"/>
          <w:lang w:val="en-US" w:eastAsia="zh-CN" w:bidi="ar"/>
        </w:rPr>
        <w:t>景德镇市农业农村局办公室         2025年9月11日印发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2057AD-DC4D-4390-BC05-EABA6A8C99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仿宋"/>
    <w:panose1 w:val="02000000000000000000"/>
    <w:charset w:val="86"/>
    <w:family w:val="auto"/>
    <w:pitch w:val="default"/>
    <w:sig w:usb0="00000000" w:usb1="00000000" w:usb2="00000012" w:usb3="00000000" w:csb0="00040001" w:csb1="00000000"/>
    <w:embedRegular r:id="rId2" w:fontKey="{2D1719F4-AF2C-4AE4-99AC-E50771E15299}"/>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embedRegular r:id="rId3" w:fontKey="{C8041374-7DE9-4289-910C-37B1D6E3DF19}"/>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4" w:fontKey="{F3A5E6E6-FE22-49D4-992F-9D2196C3457C}"/>
  </w:font>
  <w:font w:name="Tahoma">
    <w:panose1 w:val="020B0604030504040204"/>
    <w:charset w:val="00"/>
    <w:family w:val="swiss"/>
    <w:pitch w:val="default"/>
    <w:sig w:usb0="E1002EFF" w:usb1="C000605B" w:usb2="00000029" w:usb3="00000000" w:csb0="200101FF" w:csb1="20280000"/>
    <w:embedRegular r:id="rId5" w:fontKey="{C2C5D028-D289-4F57-8AA2-B7D7AE2E25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A75C9"/>
    <w:rsid w:val="05D80E51"/>
    <w:rsid w:val="09B1677C"/>
    <w:rsid w:val="247321DC"/>
    <w:rsid w:val="288A75C9"/>
    <w:rsid w:val="2DED46DE"/>
    <w:rsid w:val="30300FF6"/>
    <w:rsid w:val="3AFE95FA"/>
    <w:rsid w:val="3DCE3BA2"/>
    <w:rsid w:val="599F27A0"/>
    <w:rsid w:val="7D7537DD"/>
    <w:rsid w:val="7F93009A"/>
    <w:rsid w:val="7FFF6CA4"/>
    <w:rsid w:val="EB3BDF1A"/>
    <w:rsid w:val="ECE6A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widowControl/>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1554</Words>
  <Characters>1593</Characters>
  <Lines>0</Lines>
  <Paragraphs>0</Paragraphs>
  <TotalTime>0</TotalTime>
  <ScaleCrop>false</ScaleCrop>
  <LinksUpToDate>false</LinksUpToDate>
  <CharactersWithSpaces>1623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2025-09-08T22:49:00Z</dcterms:created>
  <dc:creator>饮雪问天</dc:creator>
  <cp:lastModifiedBy>Administrator</cp:lastModifiedBy>
  <cp:lastPrinted>2025-09-11T14:48:00Z</cp:lastPrinted>
  <dcterms:modified xsi:type="dcterms:W3CDTF">2025-09-11T09:18:32Z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C6EBF463CF6A42149467347A7586E171_13</vt:lpwstr>
  </property>
  <property fmtid="{D5CDD505-2E9C-101B-9397-08002B2CF9AE}" pid="4" name="KSOTemplateDocerSaveRecord">
    <vt:lpwstr>eyJoZGlkIjoiYTQ4NWFmZWI4NWFhNmNmZDUxYmQ5OWVhYTIwMDgxNjEifQ==</vt:lpwstr>
  </property>
</Properties>
</file>