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1B1D3FC">
      <w:pPr>
        <w:spacing w:line="5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景德镇市农村地区</w:t>
      </w:r>
      <w:r>
        <w:rPr>
          <w:rFonts w:hint="eastAsia" w:ascii="方正小标宋简体" w:hAnsi="方正小标宋简体" w:eastAsia="方正小标宋简体" w:cs="方正小标宋简体"/>
          <w:color w:val="000000"/>
          <w:sz w:val="44"/>
          <w:szCs w:val="44"/>
          <w:lang w:eastAsia="zh-CN"/>
        </w:rPr>
        <w:t>少年</w:t>
      </w:r>
      <w:r>
        <w:rPr>
          <w:rFonts w:hint="eastAsia" w:ascii="方正小标宋简体" w:hAnsi="方正小标宋简体" w:eastAsia="方正小标宋简体" w:cs="方正小标宋简体"/>
          <w:color w:val="000000"/>
          <w:sz w:val="44"/>
          <w:szCs w:val="44"/>
        </w:rPr>
        <w:t>儿童身心健康提质增效专项行动方案</w:t>
      </w:r>
    </w:p>
    <w:p w14:paraId="243BE049">
      <w:pPr>
        <w:spacing w:line="560" w:lineRule="exact"/>
        <w:jc w:val="center"/>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eastAsia="zh-CN"/>
        </w:rPr>
        <w:t>征求意见稿</w:t>
      </w:r>
      <w:bookmarkStart w:id="0" w:name="_GoBack"/>
      <w:bookmarkEnd w:id="0"/>
      <w:r>
        <w:rPr>
          <w:rFonts w:hint="eastAsia" w:ascii="楷体_GB2312" w:hAnsi="楷体_GB2312" w:eastAsia="楷体_GB2312" w:cs="楷体_GB2312"/>
          <w:color w:val="000000"/>
          <w:sz w:val="32"/>
          <w:szCs w:val="32"/>
        </w:rPr>
        <w:t>）</w:t>
      </w:r>
    </w:p>
    <w:p w14:paraId="6B653CEB">
      <w:pPr>
        <w:spacing w:line="560" w:lineRule="exact"/>
        <w:rPr>
          <w:sz w:val="32"/>
          <w:szCs w:val="32"/>
        </w:rPr>
      </w:pPr>
    </w:p>
    <w:p w14:paraId="62C638F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为深入贯彻“健康第一”教育理念，立足农村地区办学条件、</w:t>
      </w:r>
      <w:r>
        <w:rPr>
          <w:rFonts w:hint="eastAsia" w:ascii="仿宋_GB2312" w:hAnsi="仿宋_GB2312" w:eastAsia="仿宋_GB2312" w:cs="仿宋_GB2312"/>
          <w:sz w:val="32"/>
          <w:szCs w:val="32"/>
          <w:lang w:eastAsia="zh-CN"/>
        </w:rPr>
        <w:t>少年</w:t>
      </w:r>
      <w:r>
        <w:rPr>
          <w:rFonts w:hint="eastAsia" w:ascii="仿宋_GB2312" w:hAnsi="仿宋_GB2312" w:eastAsia="仿宋_GB2312" w:cs="仿宋_GB2312"/>
          <w:sz w:val="32"/>
          <w:szCs w:val="32"/>
        </w:rPr>
        <w:t>儿童成长特点和基层服务实际，聚焦我市农村地区</w:t>
      </w:r>
      <w:r>
        <w:rPr>
          <w:rFonts w:hint="eastAsia" w:ascii="仿宋_GB2312" w:hAnsi="仿宋_GB2312" w:eastAsia="仿宋_GB2312" w:cs="仿宋_GB2312"/>
          <w:sz w:val="32"/>
          <w:szCs w:val="32"/>
          <w:lang w:eastAsia="zh-CN"/>
        </w:rPr>
        <w:t>少年</w:t>
      </w:r>
      <w:r>
        <w:rPr>
          <w:rFonts w:hint="eastAsia" w:ascii="仿宋_GB2312" w:hAnsi="仿宋_GB2312" w:eastAsia="仿宋_GB2312" w:cs="仿宋_GB2312"/>
          <w:sz w:val="32"/>
          <w:szCs w:val="32"/>
        </w:rPr>
        <w:t>儿童身心健康突出问题，统筹各方力量，健全家校社医协同工作机制，补齐农村健康服务短板，</w:t>
      </w:r>
      <w:r>
        <w:rPr>
          <w:rFonts w:hint="eastAsia" w:ascii="仿宋_GB2312" w:hAnsi="仿宋_GB2312" w:eastAsia="仿宋_GB2312" w:cs="仿宋_GB2312"/>
          <w:sz w:val="32"/>
          <w:szCs w:val="32"/>
          <w:lang w:val="en-US" w:eastAsia="zh-CN"/>
        </w:rPr>
        <w:t>持续缩小城乡健康服务差距，全面提升农村地区少年儿童生长发育水平与心理健康素养，特制定本行动方案。</w:t>
      </w:r>
    </w:p>
    <w:p w14:paraId="432F61E9">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一、总体要求</w:t>
      </w:r>
    </w:p>
    <w:p w14:paraId="6884B74E">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（一）指导思想</w:t>
      </w:r>
    </w:p>
    <w:p w14:paraId="2E60B5A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以习近平新时代中国特色社会主义思想为指导，坚持育人为本、预防为主、医防融合、系统治理，紧扣农村教育与基层公卫服务双重场景，</w:t>
      </w:r>
      <w:r>
        <w:rPr>
          <w:rFonts w:hint="eastAsia" w:ascii="仿宋_GB2312" w:hAnsi="仿宋_GB2312" w:eastAsia="仿宋_GB2312" w:cs="仿宋_GB2312"/>
          <w:color w:val="000000"/>
          <w:kern w:val="0"/>
          <w:sz w:val="32"/>
          <w:szCs w:val="32"/>
          <w:lang w:val="en-US" w:eastAsia="zh-CN" w:bidi="ar"/>
        </w:rPr>
        <w:t>以健康基础、营养守护、健体强能、明眸护眼、心灵护航、温情关爱、环境育人七大板块为主线</w:t>
      </w:r>
      <w:r>
        <w:rPr>
          <w:rFonts w:hint="eastAsia" w:ascii="仿宋_GB2312" w:hAnsi="仿宋_GB2312" w:eastAsia="仿宋_GB2312" w:cs="仿宋_GB2312"/>
          <w:sz w:val="32"/>
          <w:szCs w:val="32"/>
        </w:rPr>
        <w:t>，以0—6岁儿童健康管理、0—6岁儿童孤独症筛查干预、</w:t>
      </w:r>
      <w:r>
        <w:rPr>
          <w:rFonts w:hint="eastAsia" w:ascii="仿宋_GB2312" w:hAnsi="仿宋_GB2312" w:eastAsia="仿宋_GB2312" w:cs="仿宋_GB2312"/>
          <w:sz w:val="32"/>
          <w:szCs w:val="32"/>
          <w:lang w:eastAsia="zh-CN"/>
        </w:rPr>
        <w:t>少年</w:t>
      </w:r>
      <w:r>
        <w:rPr>
          <w:rFonts w:hint="eastAsia" w:ascii="仿宋_GB2312" w:hAnsi="仿宋_GB2312" w:eastAsia="仿宋_GB2312" w:cs="仿宋_GB2312"/>
          <w:sz w:val="32"/>
          <w:szCs w:val="32"/>
        </w:rPr>
        <w:t>儿童“五健”促进为核心抓手，贯通校园、家庭、村居、县乡村三级医疗卫生服务链条，</w:t>
      </w:r>
      <w:r>
        <w:rPr>
          <w:rFonts w:hint="eastAsia" w:ascii="仿宋_GB2312" w:hAnsi="仿宋_GB2312" w:eastAsia="仿宋_GB2312" w:cs="仿宋_GB2312"/>
          <w:color w:val="000000"/>
          <w:kern w:val="0"/>
          <w:sz w:val="32"/>
          <w:szCs w:val="32"/>
          <w:lang w:val="en-US" w:eastAsia="zh-CN" w:bidi="ar"/>
        </w:rPr>
        <w:t>推动健康服务关口全面前移，夯实农村少年儿童全周期健康成长根基</w:t>
      </w:r>
      <w:r>
        <w:rPr>
          <w:rFonts w:hint="eastAsia" w:ascii="仿宋_GB2312" w:hAnsi="仿宋_GB2312" w:eastAsia="仿宋_GB2312" w:cs="仿宋_GB2312"/>
          <w:sz w:val="32"/>
          <w:szCs w:val="32"/>
        </w:rPr>
        <w:t>。</w:t>
      </w:r>
    </w:p>
    <w:p w14:paraId="78323E13">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（二）工作原则</w:t>
      </w:r>
    </w:p>
    <w:p w14:paraId="2CF84C9F">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1.民生为本，全域覆盖。</w:t>
      </w:r>
      <w:r>
        <w:rPr>
          <w:rFonts w:hint="eastAsia" w:ascii="仿宋_GB2312" w:hAnsi="仿宋_GB2312" w:eastAsia="仿宋_GB2312" w:cs="仿宋_GB2312"/>
          <w:sz w:val="32"/>
          <w:szCs w:val="32"/>
        </w:rPr>
        <w:t>将农村</w:t>
      </w:r>
      <w:r>
        <w:rPr>
          <w:rFonts w:hint="eastAsia" w:ascii="仿宋_GB2312" w:hAnsi="仿宋_GB2312" w:eastAsia="仿宋_GB2312" w:cs="仿宋_GB2312"/>
          <w:sz w:val="32"/>
          <w:szCs w:val="32"/>
          <w:lang w:eastAsia="zh-CN"/>
        </w:rPr>
        <w:t>少年</w:t>
      </w:r>
      <w:r>
        <w:rPr>
          <w:rFonts w:hint="eastAsia" w:ascii="仿宋_GB2312" w:hAnsi="仿宋_GB2312" w:eastAsia="仿宋_GB2312" w:cs="仿宋_GB2312"/>
          <w:sz w:val="32"/>
          <w:szCs w:val="32"/>
        </w:rPr>
        <w:t>儿童身心健康作为底线民生，</w:t>
      </w:r>
      <w:r>
        <w:rPr>
          <w:rFonts w:hint="eastAsia" w:ascii="仿宋_GB2312" w:hAnsi="仿宋_GB2312" w:eastAsia="仿宋_GB2312" w:cs="仿宋_GB2312"/>
          <w:sz w:val="32"/>
          <w:szCs w:val="32"/>
          <w:lang w:val="en-US" w:eastAsia="zh-CN"/>
        </w:rPr>
        <w:t>强化市级统筹，压实属地管理、学校主体、家庭监护三方责任</w:t>
      </w:r>
      <w:r>
        <w:rPr>
          <w:rFonts w:hint="eastAsia" w:ascii="仿宋_GB2312" w:hAnsi="仿宋_GB2312" w:eastAsia="仿宋_GB2312" w:cs="仿宋_GB2312"/>
          <w:sz w:val="32"/>
          <w:szCs w:val="32"/>
        </w:rPr>
        <w:t>，实现全市所有乡镇、村小、教学点、农村幼儿园全覆盖。</w:t>
      </w:r>
    </w:p>
    <w:p w14:paraId="61BA529A">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2.靶向施策，精准攻坚。</w:t>
      </w:r>
      <w:r>
        <w:rPr>
          <w:rFonts w:hint="eastAsia" w:ascii="仿宋_GB2312" w:hAnsi="仿宋_GB2312" w:eastAsia="仿宋_GB2312" w:cs="仿宋_GB2312"/>
          <w:sz w:val="32"/>
          <w:szCs w:val="32"/>
        </w:rPr>
        <w:t>针对农村儿童营养两极分化、近视肥胖低龄化、留守儿童心理脆弱等问题，协同相关部门分类施策、一人一策、精准干预。</w:t>
      </w:r>
    </w:p>
    <w:p w14:paraId="18ABAF9A">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3.严守标准，刚性落地。</w:t>
      </w:r>
      <w:r>
        <w:rPr>
          <w:rFonts w:hint="eastAsia" w:ascii="仿宋_GB2312" w:hAnsi="仿宋_GB2312" w:eastAsia="仿宋_GB2312" w:cs="仿宋_GB2312"/>
          <w:sz w:val="32"/>
          <w:szCs w:val="32"/>
        </w:rPr>
        <w:t>严格执行省级校园餐、体美劳课程、每日体育活动、心理健康筛查、基本公卫</w:t>
      </w:r>
      <w:r>
        <w:rPr>
          <w:rFonts w:hint="eastAsia" w:ascii="仿宋_GB2312" w:hAnsi="仿宋_GB2312" w:eastAsia="仿宋_GB2312" w:cs="仿宋_GB2312"/>
          <w:sz w:val="32"/>
          <w:szCs w:val="32"/>
          <w:lang w:val="en-US" w:eastAsia="zh-CN"/>
        </w:rPr>
        <w:t>少年</w:t>
      </w:r>
      <w:r>
        <w:rPr>
          <w:rFonts w:hint="eastAsia" w:ascii="仿宋_GB2312" w:hAnsi="仿宋_GB2312" w:eastAsia="仿宋_GB2312" w:cs="仿宋_GB2312"/>
          <w:sz w:val="32"/>
          <w:szCs w:val="32"/>
        </w:rPr>
        <w:t>儿童保健等硬性规范，对标执行、不打折扣、不搞变通。</w:t>
      </w:r>
    </w:p>
    <w:p w14:paraId="2BEC416E">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4.闭环管理，长效运行。</w:t>
      </w:r>
      <w:r>
        <w:rPr>
          <w:rFonts w:hint="eastAsia" w:ascii="仿宋_GB2312" w:hAnsi="仿宋_GB2312" w:eastAsia="仿宋_GB2312" w:cs="仿宋_GB2312"/>
          <w:sz w:val="32"/>
          <w:szCs w:val="32"/>
        </w:rPr>
        <w:t>统一建立健康监测—分级干预—绿色转介—跟踪回访—提质优化全流程闭环机制，推动</w:t>
      </w:r>
      <w:r>
        <w:rPr>
          <w:rFonts w:hint="eastAsia" w:ascii="仿宋_GB2312" w:hAnsi="仿宋_GB2312" w:eastAsia="仿宋_GB2312" w:cs="仿宋_GB2312"/>
          <w:sz w:val="32"/>
          <w:szCs w:val="32"/>
          <w:lang w:val="en-US" w:eastAsia="zh-CN"/>
        </w:rPr>
        <w:t>少年</w:t>
      </w:r>
      <w:r>
        <w:rPr>
          <w:rFonts w:hint="eastAsia" w:ascii="仿宋_GB2312" w:hAnsi="仿宋_GB2312" w:eastAsia="仿宋_GB2312" w:cs="仿宋_GB2312"/>
          <w:sz w:val="32"/>
          <w:szCs w:val="32"/>
        </w:rPr>
        <w:t>儿童健康管理常态化、制度化。</w:t>
      </w:r>
    </w:p>
    <w:p w14:paraId="43F94204">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（三）工作目标</w:t>
      </w:r>
    </w:p>
    <w:p w14:paraId="1CAD71CA">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1.2026—2027年夯实阶段。</w:t>
      </w:r>
      <w:r>
        <w:rPr>
          <w:rFonts w:hint="eastAsia" w:ascii="仿宋_GB2312" w:hAnsi="仿宋_GB2312" w:eastAsia="仿宋_GB2312" w:cs="仿宋_GB2312"/>
          <w:sz w:val="32"/>
          <w:szCs w:val="32"/>
        </w:rPr>
        <w:t>0—6岁儿童健康管理率达到省级标准要求，新生儿访视率稳步提升；农村儿童孤独症“初筛—复筛—诊断—康复”服务链条基本建成；“五健”促进行动全域铺开，体重、视力、心理、脊柱、口腔干预机制落地运行。农村学校校园餐、体美劳课程、每日体育活动、心理师资及阵地基本达标；全员健康筛查、三色预警、医教转介机制全面运行；留守儿童、困境、单亲、残疾四类重点儿童动态台账全覆盖、结对关爱不漏一人；农村儿童近视、超重肥胖增长势头有效遏制。</w:t>
      </w:r>
    </w:p>
    <w:p w14:paraId="310BB534">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2.2028年全面达标阶段。</w:t>
      </w:r>
      <w:r>
        <w:rPr>
          <w:rFonts w:hint="eastAsia" w:ascii="仿宋_GB2312" w:hAnsi="仿宋_GB2312" w:eastAsia="仿宋_GB2312" w:cs="仿宋_GB2312"/>
          <w:sz w:val="32"/>
          <w:szCs w:val="32"/>
          <w:lang w:eastAsia="zh-CN"/>
        </w:rPr>
        <w:t>0—6岁儿童</w:t>
      </w:r>
      <w:r>
        <w:rPr>
          <w:rFonts w:hint="eastAsia" w:ascii="仿宋_GB2312" w:hAnsi="仿宋_GB2312" w:eastAsia="仿宋_GB2312" w:cs="仿宋_GB2312"/>
          <w:sz w:val="32"/>
          <w:szCs w:val="32"/>
        </w:rPr>
        <w:t>系统管理、血红蛋白营养监测全覆盖；孤独症筛查应筛尽筛、康复救助政策落地；肥胖、近视、心理行为异常、脊柱侧弯、龋齿发生率逐年稳步下降。全市农村校（园）100%落实省级带量营养食谱；</w:t>
      </w:r>
      <w:r>
        <w:rPr>
          <w:rFonts w:hint="eastAsia" w:ascii="仿宋_GB2312" w:hAnsi="仿宋_GB2312" w:eastAsia="仿宋_GB2312" w:cs="仿宋_GB2312"/>
          <w:sz w:val="32"/>
          <w:szCs w:val="32"/>
          <w:lang w:eastAsia="zh-CN"/>
        </w:rPr>
        <w:t>幼儿园教学坚持游戏为主，</w:t>
      </w:r>
      <w:r>
        <w:rPr>
          <w:rFonts w:hint="eastAsia" w:ascii="仿宋_GB2312" w:hAnsi="仿宋_GB2312" w:eastAsia="仿宋_GB2312" w:cs="仿宋_GB2312"/>
          <w:sz w:val="32"/>
          <w:szCs w:val="32"/>
        </w:rPr>
        <w:t>义务教育学生每日综合体育活动不少于2小时，学生体质健康测试优良率达60%；农村学校100%开齐开足体美劳课程，0—6岁及义务教育阶段农村儿童健康档案建档率、生长发育监测率均达100%。</w:t>
      </w:r>
    </w:p>
    <w:p w14:paraId="657A15A6">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3.长期巩固提质创优阶段。</w:t>
      </w:r>
      <w:r>
        <w:rPr>
          <w:rFonts w:hint="eastAsia" w:ascii="仿宋_GB2312" w:hAnsi="仿宋_GB2312" w:eastAsia="仿宋_GB2312" w:cs="仿宋_GB2312"/>
          <w:sz w:val="32"/>
          <w:szCs w:val="32"/>
        </w:rPr>
        <w:t>0—6岁儿童健康管理服务城乡同质化水平显著提升；孤独症筛、诊、康、救一体化体系高效运转；“五健”行动形成长效机制，农村</w:t>
      </w:r>
      <w:r>
        <w:rPr>
          <w:rFonts w:hint="eastAsia" w:ascii="仿宋_GB2312" w:hAnsi="仿宋_GB2312" w:eastAsia="仿宋_GB2312" w:cs="仿宋_GB2312"/>
          <w:sz w:val="32"/>
          <w:szCs w:val="32"/>
          <w:lang w:eastAsia="zh-CN"/>
        </w:rPr>
        <w:t>少年</w:t>
      </w:r>
      <w:r>
        <w:rPr>
          <w:rFonts w:hint="eastAsia" w:ascii="仿宋_GB2312" w:hAnsi="仿宋_GB2312" w:eastAsia="仿宋_GB2312" w:cs="仿宋_GB2312"/>
          <w:sz w:val="32"/>
          <w:szCs w:val="32"/>
        </w:rPr>
        <w:t>儿童主要健康指标持续优化，城乡健康服务差距持续缩小。农村中小学专兼职心理师资、心理服务阵地全覆盖，学生心理健康年度筛查100%，三级预警干预体系高效运转，心理问题实现早识别、早预防、早干预。家校社医协同机制全面畅通，农村少年儿童健康综合服务能力全面提质。</w:t>
      </w:r>
    </w:p>
    <w:p w14:paraId="12642E42">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（四）实施范围</w:t>
      </w:r>
    </w:p>
    <w:p w14:paraId="7035F2C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全市农村学龄前儿童、农村义务教育学校（含村小、教学点）在读少年儿童</w:t>
      </w:r>
      <w:r>
        <w:rPr>
          <w:rFonts w:hint="eastAsia" w:ascii="仿宋_GB2312" w:hAnsi="仿宋_GB2312" w:eastAsia="仿宋_GB2312" w:cs="仿宋_GB2312"/>
          <w:sz w:val="32"/>
          <w:szCs w:val="32"/>
        </w:rPr>
        <w:t>。</w:t>
      </w:r>
    </w:p>
    <w:p w14:paraId="468ECC37">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二、重点任务</w:t>
      </w:r>
    </w:p>
    <w:p w14:paraId="7E6B2ED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w:t>
      </w:r>
      <w:r>
        <w:rPr>
          <w:rFonts w:hint="eastAsia" w:ascii="仿宋_GB2312" w:hAnsi="仿宋_GB2312" w:eastAsia="仿宋_GB2312" w:cs="仿宋_GB2312"/>
          <w:b/>
          <w:bCs/>
          <w:sz w:val="32"/>
          <w:szCs w:val="32"/>
        </w:rPr>
        <w:t>健康基础行动——筑牢全周期基层医疗健康防线</w:t>
      </w:r>
    </w:p>
    <w:p w14:paraId="71AA188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依托县、乡、村三级医疗卫生网络，做实生命早期健康管理、孤独症专项筛查、“五健”综合干预，从源头化解农村</w:t>
      </w:r>
      <w:r>
        <w:rPr>
          <w:rFonts w:hint="eastAsia" w:ascii="仿宋_GB2312" w:hAnsi="仿宋_GB2312" w:eastAsia="仿宋_GB2312" w:cs="仿宋_GB2312"/>
          <w:sz w:val="32"/>
          <w:szCs w:val="32"/>
          <w:lang w:val="en-US" w:eastAsia="zh-CN"/>
        </w:rPr>
        <w:t>少年</w:t>
      </w:r>
      <w:r>
        <w:rPr>
          <w:rFonts w:hint="eastAsia" w:ascii="仿宋_GB2312" w:hAnsi="仿宋_GB2312" w:eastAsia="仿宋_GB2312" w:cs="仿宋_GB2312"/>
          <w:sz w:val="32"/>
          <w:szCs w:val="32"/>
        </w:rPr>
        <w:t>儿童五大健康隐患。</w:t>
      </w:r>
    </w:p>
    <w:p w14:paraId="6899FA79">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1.做深做实0—6岁儿童健康管理。</w:t>
      </w:r>
      <w:r>
        <w:rPr>
          <w:rFonts w:hint="eastAsia" w:ascii="仿宋_GB2312" w:hAnsi="仿宋_GB2312" w:eastAsia="仿宋_GB2312" w:cs="仿宋_GB2312"/>
          <w:sz w:val="32"/>
          <w:szCs w:val="32"/>
        </w:rPr>
        <w:t>严格落实新生儿出院后1周内家庭访视制度，重点加强农村地区早产儿、低出生体重儿及高危儿专案管理。严格执行1岁以内4次、1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2岁2次、3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6岁每年2次的健康检查服务，重点加强农村留守儿童血红蛋白等营养指标监测，针对贫血、营养不良等问题精准干预。市、县两级儿科专家通过远程医疗等手段定期下沉指导，提升基层儿保服务能力。</w:t>
      </w:r>
    </w:p>
    <w:p w14:paraId="47CC657D">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2.全域推行0—6岁儿童孤独症免费筛查干预。</w:t>
      </w:r>
      <w:r>
        <w:rPr>
          <w:rFonts w:hint="eastAsia" w:ascii="仿宋_GB2312" w:hAnsi="仿宋_GB2312" w:eastAsia="仿宋_GB2312" w:cs="仿宋_GB2312"/>
          <w:sz w:val="32"/>
          <w:szCs w:val="32"/>
        </w:rPr>
        <w:t>以乡镇卫生院为初筛主体，依托常规儿童保健，使用《儿童心理行为发育问题预警征象筛查表》、ASQ、DDST标准化量表开展全覆盖免费初筛，重点强化8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24月龄儿童筛查。县级妇幼保健机构承担复筛职能，建立2周内绿色转诊通道；市级定点医疗机构负责规范诊断评估。联动民政、残联落实孤独症儿童康复救助，依托县级康复机构、特殊教育学校开展医教结合康复训练，减轻农村家庭负担。</w:t>
      </w:r>
    </w:p>
    <w:p w14:paraId="560C08FE">
      <w:pPr>
        <w:widowControl/>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 xml:space="preserve">    </w:t>
      </w:r>
      <w:r>
        <w:rPr>
          <w:rFonts w:hint="eastAsia" w:ascii="仿宋_GB2312" w:hAnsi="仿宋_GB2312" w:eastAsia="仿宋_GB2312" w:cs="仿宋_GB2312"/>
          <w:b/>
          <w:bCs/>
          <w:sz w:val="32"/>
          <w:szCs w:val="32"/>
        </w:rPr>
        <w:t>3.深入推进“五健”促进行动。</w:t>
      </w:r>
      <w:r>
        <w:rPr>
          <w:rFonts w:hint="eastAsia" w:ascii="仿宋_GB2312" w:hAnsi="仿宋_GB2312" w:eastAsia="仿宋_GB2312" w:cs="仿宋_GB2312"/>
          <w:sz w:val="32"/>
          <w:szCs w:val="32"/>
        </w:rPr>
        <w:t>一是健康体重管理。将体重干预前移至孕期、婴幼儿阶段，推广母乳喂养与科学辅食；在农村中小学建设健康食堂，严控校园高糖高脂高盐食品；刚性保障学生每日户外活动与体育锻炼时长。二是视力健康促进。落实0—6岁儿童屈光常规筛查，中小学每学期2次全覆盖视力检测；推进校园照明标准化改造，严控课堂电子产品使用，督促儿童每日户外自然光接触不少于60分钟，运用中医药手段防控近视，对远视储备不足儿童提前预警干预。三是心理健康护航。</w:t>
      </w:r>
      <w:r>
        <w:rPr>
          <w:rFonts w:hint="eastAsia" w:ascii="仿宋_GB2312" w:hAnsi="仿宋_GB2312" w:eastAsia="仿宋_GB2312" w:cs="仿宋_GB2312"/>
          <w:sz w:val="32"/>
          <w:szCs w:val="32"/>
          <w:lang w:val="en-US" w:eastAsia="zh-CN"/>
        </w:rPr>
        <w:t>重点关注易感人群，进行儿童心理行为发育监测和健康指导。加强中小学校心理辅导室建设，开展少年儿童心理健康测评、咨询指导与分类干预服务。</w:t>
      </w:r>
      <w:r>
        <w:rPr>
          <w:rFonts w:hint="eastAsia" w:ascii="仿宋_GB2312" w:hAnsi="仿宋_GB2312" w:eastAsia="仿宋_GB2312" w:cs="仿宋_GB2312"/>
          <w:sz w:val="32"/>
          <w:szCs w:val="32"/>
        </w:rPr>
        <w:t>四是骨骼健康干预。脊柱弯曲异常纳入中小学生常规体检，常态化开展基层医务人员、体育教师筛查培训；普及正确坐立行走姿势，筛查异常患儿开通转诊绿色通道，配套康复矫治指导。五是口腔健康促进。常态化开展农村儿童口腔健康宣教，普及科学刷牙习惯；下沉口腔医疗资源，定期开展口腔体检，推广适龄儿童局部涂氟、窝沟封闭，持续降低龋齿发生率。</w:t>
      </w:r>
    </w:p>
    <w:p w14:paraId="2A29FABB">
      <w:pPr>
        <w:spacing w:line="560" w:lineRule="exact"/>
        <w:ind w:firstLine="643" w:firstLineChars="200"/>
        <w:rPr>
          <w:rFonts w:ascii="宋体" w:hAnsi="宋体" w:eastAsia="宋体" w:cs="宋体"/>
          <w:sz w:val="24"/>
        </w:rPr>
      </w:pPr>
      <w:r>
        <w:rPr>
          <w:rFonts w:hint="eastAsia" w:ascii="楷体_GB2312" w:hAnsi="楷体_GB2312" w:eastAsia="楷体_GB2312" w:cs="楷体_GB2312"/>
          <w:b/>
          <w:bCs/>
          <w:sz w:val="32"/>
          <w:szCs w:val="32"/>
        </w:rPr>
        <w:t>（二）营养守护行动——规范农村校园膳食营养管控</w:t>
      </w:r>
    </w:p>
    <w:p w14:paraId="67814A1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严格落实校园食品安全与营养健康管理要求，针对农村儿童饮食特点，抓实标准化配餐、全链条监管、常态化宣教，破解营养失衡难题。</w:t>
      </w:r>
    </w:p>
    <w:p w14:paraId="43201A39">
      <w:pPr>
        <w:spacing w:line="560" w:lineRule="exact"/>
        <w:ind w:firstLine="643" w:firstLineChars="200"/>
        <w:rPr>
          <w:rFonts w:ascii="宋体" w:hAnsi="宋体" w:eastAsia="宋体" w:cs="宋体"/>
          <w:sz w:val="24"/>
        </w:rPr>
      </w:pPr>
      <w:r>
        <w:rPr>
          <w:rFonts w:hint="eastAsia" w:ascii="仿宋_GB2312" w:hAnsi="仿宋_GB2312" w:eastAsia="仿宋_GB2312" w:cs="仿宋_GB2312"/>
          <w:b/>
          <w:bCs/>
          <w:sz w:val="32"/>
          <w:szCs w:val="32"/>
        </w:rPr>
        <w:t>1.推行带量配餐，分类干预管护。</w:t>
      </w:r>
      <w:r>
        <w:rPr>
          <w:rFonts w:hint="eastAsia" w:ascii="仿宋_GB2312" w:hAnsi="仿宋_GB2312" w:eastAsia="仿宋_GB2312" w:cs="仿宋_GB2312"/>
          <w:sz w:val="32"/>
          <w:szCs w:val="32"/>
        </w:rPr>
        <w:t>各校联合卫健部门制定每周量化营养食谱，提前3天在班级、家长群公示，严禁高糖、高脂、高盐零食、加工食品进校园。针对营养不良、超重肥胖学生建立个性化膳食干预方案。</w:t>
      </w:r>
    </w:p>
    <w:p w14:paraId="01A60060">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2.从严全程监管，守住食安底线。</w:t>
      </w:r>
      <w:r>
        <w:rPr>
          <w:rFonts w:hint="eastAsia" w:ascii="仿宋_GB2312" w:hAnsi="仿宋_GB2312" w:eastAsia="仿宋_GB2312" w:cs="仿宋_GB2312"/>
          <w:sz w:val="32"/>
          <w:szCs w:val="32"/>
        </w:rPr>
        <w:t>落实校长、园长食品安全第一责任人制度，食堂食材统一集中采购、索证索票，食品留样不少于48小时；执行校领导每日陪餐制度，每学期邀请村干部、村民、家长代表参与监督陪餐。加快农村校（园）“互联网+明厨亮灶”全覆盖，成立校内膳食监督小组，每季度开展餐食满意度测评。常态化开展食堂从业人员食品安全培训。</w:t>
      </w:r>
    </w:p>
    <w:p w14:paraId="5B2626D1">
      <w:pPr>
        <w:spacing w:line="560" w:lineRule="exact"/>
        <w:ind w:firstLine="643" w:firstLineChars="200"/>
        <w:rPr>
          <w:rFonts w:ascii="宋体" w:hAnsi="宋体" w:eastAsia="宋体" w:cs="宋体"/>
          <w:sz w:val="24"/>
        </w:rPr>
      </w:pPr>
      <w:r>
        <w:rPr>
          <w:rFonts w:hint="eastAsia" w:ascii="仿宋_GB2312" w:hAnsi="仿宋_GB2312" w:eastAsia="仿宋_GB2312" w:cs="仿宋_GB2312"/>
          <w:b/>
          <w:bCs/>
          <w:sz w:val="32"/>
          <w:szCs w:val="32"/>
        </w:rPr>
        <w:t>3.深化营养宣教，转变</w:t>
      </w:r>
      <w:r>
        <w:rPr>
          <w:rFonts w:hint="eastAsia" w:ascii="仿宋_GB2312" w:hAnsi="仿宋_GB2312" w:eastAsia="仿宋_GB2312" w:cs="仿宋_GB2312"/>
          <w:b/>
          <w:bCs/>
          <w:sz w:val="32"/>
          <w:szCs w:val="32"/>
          <w:lang w:val="en-US" w:eastAsia="zh-CN"/>
        </w:rPr>
        <w:t>膳食</w:t>
      </w:r>
      <w:r>
        <w:rPr>
          <w:rFonts w:hint="eastAsia" w:ascii="仿宋_GB2312" w:hAnsi="仿宋_GB2312" w:eastAsia="仿宋_GB2312" w:cs="仿宋_GB2312"/>
          <w:b/>
          <w:bCs/>
          <w:sz w:val="32"/>
          <w:szCs w:val="32"/>
        </w:rPr>
        <w:t>观念。</w:t>
      </w:r>
      <w:r>
        <w:rPr>
          <w:rFonts w:hint="eastAsia" w:ascii="仿宋_GB2312" w:hAnsi="仿宋_GB2312" w:eastAsia="仿宋_GB2312" w:cs="仿宋_GB2312"/>
          <w:sz w:val="32"/>
          <w:szCs w:val="32"/>
        </w:rPr>
        <w:t>每学期开设不少于2场校园营养课堂，设立“校园营养小卫士”；面向农村家长推送科学喂养、居家均衡膳食指导，转变农村“重饱腹、轻营养”传统认知；针对祖辈监护人开设专项科普，普及儿童生长发育营养知识。</w:t>
      </w:r>
    </w:p>
    <w:p w14:paraId="22D06B22">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（三）健体强能行动——盘活乡土资源提升学生体质健康</w:t>
      </w:r>
    </w:p>
    <w:p w14:paraId="12CA47D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严守课程开设、体育时长硬性标准，依托农村现有条件打造特色运动项目，实现体质监测与闭环干预。</w:t>
      </w:r>
    </w:p>
    <w:p w14:paraId="7F010690">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1.刚性保障课程与活动时长。</w:t>
      </w:r>
      <w:r>
        <w:rPr>
          <w:rFonts w:hint="eastAsia" w:ascii="仿宋_GB2312" w:hAnsi="仿宋_GB2312" w:eastAsia="仿宋_GB2312" w:cs="仿宋_GB2312"/>
          <w:sz w:val="32"/>
          <w:szCs w:val="32"/>
        </w:rPr>
        <w:t>农村幼儿园以游戏活动为核心开展科学保教；农村中小学100%开齐开足体育、音乐、美术、劳动课程，义务教育阶段每日1节体育课，音美每周各不少于2节，劳动课每周不少于1课时。严格执行学生每日综合体育活动不少于2小时，落实课间15分钟休息，每日组织30分钟以上规范化大课间，严禁挤占、挪用体美劳课时。</w:t>
      </w:r>
    </w:p>
    <w:p w14:paraId="1133D483">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2.打造乡土体育特色项目。</w:t>
      </w:r>
      <w:r>
        <w:rPr>
          <w:rFonts w:hint="eastAsia" w:ascii="仿宋_GB2312" w:hAnsi="仿宋_GB2312" w:eastAsia="仿宋_GB2312" w:cs="仿宋_GB2312"/>
          <w:sz w:val="32"/>
          <w:szCs w:val="32"/>
        </w:rPr>
        <w:t>结合农村场地、器材现状，推广跳绳、踢毽子、滚铁环、竹竿舞、田间趣味运动等简易项目，做到一校一品。推动学生在校期间掌握至少1项体育运动技能。每学期举办校级趣味运动会、体育联赛，丰富农村学生体育生活。</w:t>
      </w:r>
    </w:p>
    <w:p w14:paraId="027FADB9">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3.常态化体质监测与个性化干预。</w:t>
      </w:r>
      <w:r>
        <w:rPr>
          <w:rFonts w:hint="eastAsia" w:ascii="仿宋_GB2312" w:hAnsi="仿宋_GB2312" w:eastAsia="仿宋_GB2312" w:cs="仿宋_GB2312"/>
          <w:sz w:val="32"/>
          <w:szCs w:val="32"/>
        </w:rPr>
        <w:t>每学年全覆盖开展身高、体重、肺活量、视力、脊柱形态体质测试，建立电子体质健康档案；针对肥胖、近视、体能薄弱学生制定专项运动提升方案，每季度复测评估。</w:t>
      </w:r>
    </w:p>
    <w:p w14:paraId="07EDCF52">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4.补齐农村音体美劳师资短板。</w:t>
      </w:r>
      <w:r>
        <w:rPr>
          <w:rFonts w:hint="eastAsia" w:ascii="仿宋_GB2312" w:hAnsi="仿宋_GB2312" w:eastAsia="仿宋_GB2312" w:cs="仿宋_GB2312"/>
          <w:sz w:val="32"/>
          <w:szCs w:val="32"/>
        </w:rPr>
        <w:t>通过县域教师轮岗、城乡学校结对、线上专项培训、兼职聘任等方式补足农村音体美劳教师缺口，每学期组织专项业务培训，提升基层教学与活动组织能力。</w:t>
      </w:r>
    </w:p>
    <w:p w14:paraId="39BE604C">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（四）明眸护眼行动——全链条落实农村儿童近视综合防控</w:t>
      </w:r>
    </w:p>
    <w:p w14:paraId="2D7CFE0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坚持预防为主，聚焦农村学前、小学重点学段，全面落实近视防控举措，改善农村学生用眼条件。</w:t>
      </w:r>
    </w:p>
    <w:p w14:paraId="4EB43F75">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1.严格落实学生用眼常态化管理。</w:t>
      </w:r>
      <w:r>
        <w:rPr>
          <w:rFonts w:hint="eastAsia" w:ascii="仿宋_GB2312" w:hAnsi="仿宋_GB2312" w:eastAsia="仿宋_GB2312" w:cs="仿宋_GB2312"/>
          <w:sz w:val="32"/>
          <w:szCs w:val="32"/>
        </w:rPr>
        <w:t>严格落实“双减”政策及学生手机、作业、考试、睡眠、读物、体质“六项管理”要求，严控校园电子产品使用，保障户外活动时长。常态化开展护眼科普，引导教师不过度依赖视屏类电子产品教学，指导家长优化家庭学习照明环境，督促儿童每天接触自然光不少于60分钟。</w:t>
      </w:r>
    </w:p>
    <w:p w14:paraId="58BCDAD9">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2.全覆盖视力筛查与动态跟踪干预。</w:t>
      </w:r>
      <w:r>
        <w:rPr>
          <w:rFonts w:hint="eastAsia" w:ascii="仿宋_GB2312" w:hAnsi="仿宋_GB2312" w:eastAsia="仿宋_GB2312" w:cs="仿宋_GB2312"/>
          <w:sz w:val="32"/>
          <w:szCs w:val="32"/>
        </w:rPr>
        <w:t>每学期开展2次全覆盖视力筛查，建立视力健康档案，第一时间反馈结果并开展针对性干预。统筹城乡防控资源，重点补齐偏远村小、教学点防控短板。</w:t>
      </w:r>
    </w:p>
    <w:p w14:paraId="39680AA5">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3.标准化改造校园用眼硬件环境。</w:t>
      </w:r>
      <w:r>
        <w:rPr>
          <w:rFonts w:hint="eastAsia" w:ascii="仿宋_GB2312" w:hAnsi="仿宋_GB2312" w:eastAsia="仿宋_GB2312" w:cs="仿宋_GB2312"/>
          <w:sz w:val="32"/>
          <w:szCs w:val="32"/>
        </w:rPr>
        <w:t>推进农村教室采光、照明标准化改造，根据学生身形动态调整课桌椅高度，全面优化农村校园用眼环境。</w:t>
      </w:r>
    </w:p>
    <w:p w14:paraId="689F14FC">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（五）心灵护航行动——织密农村家校医一体化心理服务网络</w:t>
      </w:r>
    </w:p>
    <w:p w14:paraId="1CA06EC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坚持“健康第一、育心为先”的教育理念，聚焦农村心理服务薄弱、识别干预滞后、“病耻感”突出等问题，建强队伍、建实阵地、健全机制，全方位守护</w:t>
      </w:r>
      <w:r>
        <w:rPr>
          <w:rFonts w:hint="eastAsia" w:ascii="仿宋_GB2312" w:hAnsi="仿宋_GB2312" w:eastAsia="仿宋_GB2312" w:cs="仿宋_GB2312"/>
          <w:sz w:val="32"/>
          <w:szCs w:val="32"/>
          <w:lang w:val="en-US" w:eastAsia="zh-CN"/>
        </w:rPr>
        <w:t>少年</w:t>
      </w:r>
      <w:r>
        <w:rPr>
          <w:rFonts w:hint="eastAsia" w:ascii="仿宋_GB2312" w:hAnsi="仿宋_GB2312" w:eastAsia="仿宋_GB2312" w:cs="仿宋_GB2312"/>
          <w:sz w:val="32"/>
          <w:szCs w:val="32"/>
        </w:rPr>
        <w:t>儿童心理健康。</w:t>
      </w:r>
    </w:p>
    <w:p w14:paraId="76296A42">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1.配齐建强基层心理队伍。</w:t>
      </w:r>
      <w:r>
        <w:rPr>
          <w:rFonts w:hint="eastAsia" w:ascii="仿宋_GB2312" w:hAnsi="仿宋_GB2312" w:eastAsia="仿宋_GB2312" w:cs="仿宋_GB2312"/>
          <w:sz w:val="32"/>
          <w:szCs w:val="32"/>
        </w:rPr>
        <w:t>2027年农村学校专职心理教师配备覆盖率达80%，2030年逐步达到1:800师生配比；小规模学校、村小、教学点配备经过系统培训的班主任、德育干部担任兼职心理教师。将心理健康沟通、危机干预纳入教师全员年度培训，每年培训学时不少于25学时；组建市、县级心理健康名师团队，结对帮扶农村薄弱学校；将心理健康工作计入教师课时工作量，纳入绩效考核、职称评审。</w:t>
      </w:r>
    </w:p>
    <w:p w14:paraId="69B45E22">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2.实行绿黄红三色分级管控。</w:t>
      </w:r>
      <w:r>
        <w:rPr>
          <w:rFonts w:hint="eastAsia" w:ascii="仿宋_GB2312" w:hAnsi="仿宋_GB2312" w:eastAsia="仿宋_GB2312" w:cs="仿宋_GB2312"/>
          <w:sz w:val="32"/>
          <w:szCs w:val="32"/>
        </w:rPr>
        <w:t>每年秋季开学1个月内完成农村中小学全员心理健康测评，建立“一生一档”心理成长档案；常态化动态排查留守儿童、困境儿童、单亲家庭、残疾儿童。绿色群体开展常规心理健康教育；黄色风险学生由班主任每周谈心跟踪；红色重点学生由心理教师开展专业辅导，同步联动家长协同干预；各班设置男女心理委员，实现心理异常第一时间上报。</w:t>
      </w:r>
    </w:p>
    <w:p w14:paraId="34DFD552">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3.规范建设基层心理服务阵地。</w:t>
      </w:r>
      <w:r>
        <w:rPr>
          <w:rFonts w:hint="eastAsia" w:ascii="仿宋_GB2312" w:hAnsi="仿宋_GB2312" w:eastAsia="仿宋_GB2312" w:cs="仿宋_GB2312"/>
          <w:sz w:val="32"/>
          <w:szCs w:val="32"/>
        </w:rPr>
        <w:t>农村中心小学建成标准化心理辅导室，村小、教学点设立“童心驿站”，每周开放不少于5天、每日开放2小时以上；每月开设不少于2课时心理健康课程，每学期开展团体辅导、心理专题讲座；开通校园心灵信箱、师生倾诉热线，试点建设亲情视频室，方便留守儿童远程亲情沟通。</w:t>
      </w:r>
    </w:p>
    <w:p w14:paraId="4D015F87">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4.畅通医教协同心理转介渠道。</w:t>
      </w:r>
      <w:r>
        <w:rPr>
          <w:rFonts w:hint="eastAsia" w:ascii="仿宋_GB2312" w:hAnsi="仿宋_GB2312" w:eastAsia="仿宋_GB2312" w:cs="仿宋_GB2312"/>
          <w:sz w:val="32"/>
          <w:szCs w:val="32"/>
        </w:rPr>
        <w:t>规范筛查、诊断、治疗、康复全流程转诊机制，存在严重心理问题学生经家长同意后及时转介专业医疗机构，做好全程随访、返校衔接。依托12356全国心理援助热线、12355青少年服务热线、0798-8661120市中小学心理健康服务中心热线提供线上免费咨询，广泛科普，消除心理疾病认知误区。</w:t>
      </w:r>
    </w:p>
    <w:p w14:paraId="3210B64B">
      <w:pPr>
        <w:spacing w:line="560" w:lineRule="exact"/>
        <w:ind w:firstLine="643" w:firstLineChars="200"/>
        <w:rPr>
          <w:rFonts w:ascii="仿宋_GB2312" w:hAnsi="仿宋_GB2312" w:eastAsia="仿宋_GB2312" w:cs="仿宋_GB2312"/>
          <w:b/>
          <w:bCs/>
          <w:sz w:val="32"/>
          <w:szCs w:val="32"/>
        </w:rPr>
      </w:pPr>
      <w:r>
        <w:rPr>
          <w:rFonts w:hint="eastAsia" w:ascii="楷体_GB2312" w:hAnsi="楷体_GB2312" w:eastAsia="楷体_GB2312" w:cs="楷体_GB2312"/>
          <w:b/>
          <w:bCs/>
          <w:sz w:val="32"/>
          <w:szCs w:val="32"/>
        </w:rPr>
        <w:t>（六）温情关爱行动——兜牢农村重点群体成长保障底线</w:t>
      </w:r>
    </w:p>
    <w:p w14:paraId="65B9F28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聚焦</w:t>
      </w:r>
      <w:r>
        <w:rPr>
          <w:rFonts w:hint="eastAsia" w:ascii="仿宋_GB2312" w:hAnsi="仿宋_GB2312" w:eastAsia="仿宋_GB2312" w:cs="仿宋_GB2312"/>
          <w:sz w:val="32"/>
          <w:szCs w:val="32"/>
          <w:lang w:eastAsia="zh-CN"/>
        </w:rPr>
        <w:t>在校（</w:t>
      </w:r>
      <w:r>
        <w:rPr>
          <w:rFonts w:hint="eastAsia" w:ascii="仿宋_GB2312" w:hAnsi="仿宋_GB2312" w:eastAsia="仿宋_GB2312" w:cs="仿宋_GB2312"/>
          <w:sz w:val="32"/>
          <w:szCs w:val="32"/>
          <w:lang w:val="en-US" w:eastAsia="zh-CN"/>
        </w:rPr>
        <w:t>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农村留守儿童、困境儿童、单亲家庭儿童、残疾儿童四大群体，全面摸排、建档立卡、结对帮扶，补齐亲情陪伴与情感关爱短板。</w:t>
      </w:r>
    </w:p>
    <w:p w14:paraId="57B4E35D">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1.全域动态摸排，建立一人一档台账。</w:t>
      </w:r>
      <w:r>
        <w:rPr>
          <w:rFonts w:hint="eastAsia" w:ascii="仿宋_GB2312" w:hAnsi="仿宋_GB2312" w:eastAsia="仿宋_GB2312" w:cs="仿宋_GB2312"/>
          <w:sz w:val="32"/>
          <w:szCs w:val="32"/>
        </w:rPr>
        <w:t>以乡镇、农村学校为单元，每学期开展</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轮全覆盖排查，摸清重点儿童家庭监护、身心健康、生活现状，建立动态管理台账，明确帮扶责任人、个性化帮扶举措，做到不漏一户、不落一人。</w:t>
      </w:r>
    </w:p>
    <w:p w14:paraId="67BA1CC3">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2.强化监护引导，压实家庭责任。</w:t>
      </w:r>
      <w:r>
        <w:rPr>
          <w:rFonts w:hint="eastAsia" w:ascii="仿宋_GB2312" w:hAnsi="仿宋_GB2312" w:eastAsia="仿宋_GB2312" w:cs="仿宋_GB2312"/>
          <w:sz w:val="32"/>
          <w:szCs w:val="32"/>
        </w:rPr>
        <w:t>依托家长学校、线上课堂普及科学育儿、亲子沟通知识，引导外出务工父母保持常态化视频、电话联系，强化日常亲情陪伴；针对祖辈监护人开设专项课堂，用通俗案例、方言科普家庭心理陪伴、营养照料知识。</w:t>
      </w:r>
    </w:p>
    <w:p w14:paraId="0412FE82">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3.多元结对帮扶，做实关爱服务。</w:t>
      </w:r>
      <w:r>
        <w:rPr>
          <w:rFonts w:hint="eastAsia" w:ascii="仿宋_GB2312" w:hAnsi="仿宋_GB2312" w:eastAsia="仿宋_GB2312" w:cs="仿宋_GB2312"/>
          <w:sz w:val="32"/>
          <w:szCs w:val="32"/>
        </w:rPr>
        <w:t>每学期至少组织一次面向农村留守儿童、单亲家庭儿童、困境儿童的主题团辅活动。联动团委、妇联、关工委、“五老”人员、志愿者、爱心力量开展“一对一”结对帮扶，提供谈心疏导、学业辅导、节日慰问，全面掌握学生居家生活状态。</w:t>
      </w:r>
    </w:p>
    <w:p w14:paraId="274CA62D">
      <w:pPr>
        <w:spacing w:line="560" w:lineRule="exact"/>
        <w:ind w:firstLine="643" w:firstLineChars="200"/>
        <w:rPr>
          <w:rFonts w:ascii="宋体" w:hAnsi="宋体" w:eastAsia="宋体" w:cs="宋体"/>
          <w:sz w:val="24"/>
        </w:rPr>
      </w:pPr>
      <w:r>
        <w:rPr>
          <w:rFonts w:hint="eastAsia" w:ascii="楷体_GB2312" w:hAnsi="楷体_GB2312" w:eastAsia="楷体_GB2312" w:cs="楷体_GB2312"/>
          <w:b/>
          <w:bCs/>
          <w:sz w:val="32"/>
          <w:szCs w:val="32"/>
        </w:rPr>
        <w:t>（七）环境育人行动——营造关爱儿童健康成长良好氛围</w:t>
      </w:r>
    </w:p>
    <w:p w14:paraId="6B6F4B9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整合各方力量，整治校园及周边环境，深化医教协同，在乡村全域营造关爱</w:t>
      </w:r>
      <w:r>
        <w:rPr>
          <w:rFonts w:hint="eastAsia" w:ascii="仿宋_GB2312" w:hAnsi="仿宋_GB2312" w:eastAsia="仿宋_GB2312" w:cs="仿宋_GB2312"/>
          <w:sz w:val="32"/>
          <w:szCs w:val="32"/>
          <w:lang w:val="en-US" w:eastAsia="zh-CN"/>
        </w:rPr>
        <w:t>少年</w:t>
      </w:r>
      <w:r>
        <w:rPr>
          <w:rFonts w:hint="eastAsia" w:ascii="仿宋_GB2312" w:hAnsi="仿宋_GB2312" w:eastAsia="仿宋_GB2312" w:cs="仿宋_GB2312"/>
          <w:sz w:val="32"/>
          <w:szCs w:val="32"/>
        </w:rPr>
        <w:t>儿童健康的良好氛围。</w:t>
      </w:r>
    </w:p>
    <w:p w14:paraId="7EFBA978">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1.开展健康科普宣传。</w:t>
      </w:r>
      <w:r>
        <w:rPr>
          <w:rFonts w:hint="eastAsia" w:ascii="仿宋_GB2312" w:hAnsi="仿宋_GB2312" w:eastAsia="仿宋_GB2312" w:cs="仿宋_GB2312"/>
          <w:sz w:val="32"/>
          <w:szCs w:val="32"/>
        </w:rPr>
        <w:t>依托校园宣传栏、乡村广播、镇村微信公众号、家长群，常态化推送生长发育、常见病预防、近视防控、心理健康、安全防护科普内容，树立乡村健康新风。</w:t>
      </w:r>
    </w:p>
    <w:p w14:paraId="44F66076">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2.整治校园及周边环境。</w:t>
      </w:r>
      <w:r>
        <w:rPr>
          <w:rFonts w:hint="eastAsia" w:ascii="仿宋_GB2312" w:hAnsi="仿宋_GB2312" w:eastAsia="仿宋_GB2312" w:cs="仿宋_GB2312"/>
          <w:b w:val="0"/>
          <w:bCs w:val="0"/>
          <w:sz w:val="32"/>
          <w:szCs w:val="32"/>
          <w:lang w:val="en-US" w:eastAsia="zh-CN"/>
        </w:rPr>
        <w:t>组织教体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市场监管、公安、</w:t>
      </w:r>
      <w:r>
        <w:rPr>
          <w:rFonts w:hint="eastAsia" w:ascii="仿宋_GB2312" w:hAnsi="仿宋_GB2312" w:eastAsia="仿宋_GB2312" w:cs="仿宋_GB2312"/>
          <w:sz w:val="32"/>
          <w:szCs w:val="32"/>
          <w:lang w:val="en-US" w:eastAsia="zh-CN"/>
        </w:rPr>
        <w:t>宣传等</w:t>
      </w:r>
      <w:r>
        <w:rPr>
          <w:rFonts w:hint="eastAsia" w:ascii="仿宋_GB2312" w:hAnsi="仿宋_GB2312" w:eastAsia="仿宋_GB2312" w:cs="仿宋_GB2312"/>
          <w:sz w:val="32"/>
          <w:szCs w:val="32"/>
        </w:rPr>
        <w:t>部门，常态化清理农村校园周边不合格食品、劣质玩具、违规出版物；加强网络环境监管，屏蔽不良网络信息，净化</w:t>
      </w:r>
      <w:r>
        <w:rPr>
          <w:rFonts w:hint="eastAsia" w:ascii="仿宋_GB2312" w:hAnsi="仿宋_GB2312" w:eastAsia="仿宋_GB2312" w:cs="仿宋_GB2312"/>
          <w:sz w:val="32"/>
          <w:szCs w:val="32"/>
          <w:lang w:val="en-US" w:eastAsia="zh-CN"/>
        </w:rPr>
        <w:t>少年</w:t>
      </w:r>
      <w:r>
        <w:rPr>
          <w:rFonts w:hint="eastAsia" w:ascii="仿宋_GB2312" w:hAnsi="仿宋_GB2312" w:eastAsia="仿宋_GB2312" w:cs="仿宋_GB2312"/>
          <w:sz w:val="32"/>
          <w:szCs w:val="32"/>
        </w:rPr>
        <w:t>儿童成长外部环境。</w:t>
      </w:r>
    </w:p>
    <w:p w14:paraId="31417E89">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3.深化医教协同落地见效。</w:t>
      </w:r>
      <w:r>
        <w:rPr>
          <w:rFonts w:hint="eastAsia" w:ascii="仿宋_GB2312" w:hAnsi="仿宋_GB2312" w:eastAsia="仿宋_GB2312" w:cs="仿宋_GB2312"/>
          <w:sz w:val="32"/>
          <w:szCs w:val="32"/>
        </w:rPr>
        <w:t>严格落实健康副校长派驻制度，教育、卫生健康部门联合遴选医疗机构骨干医师，每学期到校开展专项指导不少于2次。按标准配齐校医与保健人员，落实晨午检、校园消杀、传染病防控工作，加强急救知识宣传教育，实现师生急救技能培训全覆盖。</w:t>
      </w:r>
    </w:p>
    <w:p w14:paraId="1E1C5B87">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4.健全家校社协同育人体系。</w:t>
      </w:r>
      <w:r>
        <w:rPr>
          <w:rFonts w:hint="eastAsia" w:ascii="仿宋_GB2312" w:hAnsi="仿宋_GB2312" w:eastAsia="仿宋_GB2312" w:cs="仿宋_GB2312"/>
          <w:sz w:val="32"/>
          <w:szCs w:val="32"/>
        </w:rPr>
        <w:t>一是完善县（市、区）级家校社“教联体”组织架构。各县（市、区）同步对标市级家庭教育指导与服务中心建设标准，建立和完善县级家庭教育指导与服务机制，补齐农村基层育人服务短板。二是办好“家长学校”与“乡村家长课堂”。农村学校每学期至少组织1次面向全体家长的线上线下相结合的身心健康知识讲座。针对留守儿童祖辈监护人，组织“祖辈课堂”，用方言、案例等方式传授科学育儿方法。三是开展“城乡手拉手”结对活动。充分发挥23家市级家校社协同育人“教联体”首批成员单位、40名市级专项骨干师资优质资源的作用，推动优质育人资源下沉县域、辐射乡村。组织城区优质学校与农村学校结对，定期开展身心健康主题的送教、共赛、互访活动。鼓励社会体育俱乐部、医疗机构、心理咨询机构以公益形式定期进入农村学校提供服务。</w:t>
      </w:r>
    </w:p>
    <w:p w14:paraId="6160A9DE">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三、实施步骤</w:t>
      </w:r>
    </w:p>
    <w:p w14:paraId="7D329C7C">
      <w:pPr>
        <w:spacing w:line="560" w:lineRule="exact"/>
        <w:ind w:firstLine="643" w:firstLineChars="200"/>
        <w:rPr>
          <w:rFonts w:ascii="仿宋_GB2312" w:hAnsi="仿宋_GB2312" w:eastAsia="仿宋_GB2312" w:cs="仿宋_GB2312"/>
          <w:b/>
          <w:bCs/>
          <w:sz w:val="32"/>
          <w:szCs w:val="32"/>
        </w:rPr>
      </w:pPr>
      <w:r>
        <w:rPr>
          <w:rFonts w:hint="eastAsia" w:ascii="楷体_GB2312" w:hAnsi="楷体_GB2312" w:eastAsia="楷体_GB2312" w:cs="楷体_GB2312"/>
          <w:b/>
          <w:bCs/>
          <w:sz w:val="32"/>
          <w:szCs w:val="32"/>
        </w:rPr>
        <w:t>（一）动员部署、基线排查阶段</w:t>
      </w:r>
    </w:p>
    <w:p w14:paraId="6772281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召开全市农村地区</w:t>
      </w:r>
      <w:r>
        <w:rPr>
          <w:rFonts w:hint="eastAsia" w:ascii="仿宋_GB2312" w:hAnsi="仿宋_GB2312" w:eastAsia="仿宋_GB2312" w:cs="仿宋_GB2312"/>
          <w:sz w:val="32"/>
          <w:szCs w:val="32"/>
          <w:lang w:val="en-US" w:eastAsia="zh-CN"/>
        </w:rPr>
        <w:t>少年</w:t>
      </w:r>
      <w:r>
        <w:rPr>
          <w:rFonts w:hint="eastAsia" w:ascii="仿宋_GB2312" w:hAnsi="仿宋_GB2312" w:eastAsia="仿宋_GB2312" w:cs="仿宋_GB2312"/>
          <w:sz w:val="32"/>
          <w:szCs w:val="32"/>
        </w:rPr>
        <w:t>儿童身心健康专项行动部署会，</w:t>
      </w:r>
      <w:r>
        <w:rPr>
          <w:rFonts w:hint="eastAsia" w:ascii="仿宋_GB2312" w:hAnsi="仿宋_GB2312" w:eastAsia="仿宋_GB2312" w:cs="仿宋_GB2312"/>
          <w:sz w:val="32"/>
          <w:szCs w:val="32"/>
          <w:lang w:val="en-US" w:eastAsia="zh-CN"/>
        </w:rPr>
        <w:t>落实行业部门主管责任</w:t>
      </w:r>
      <w:r>
        <w:rPr>
          <w:rFonts w:hint="eastAsia" w:ascii="仿宋_GB2312" w:hAnsi="仿宋_GB2312" w:eastAsia="仿宋_GB2312" w:cs="仿宋_GB2312"/>
          <w:sz w:val="32"/>
          <w:szCs w:val="32"/>
        </w:rPr>
        <w:t>，压实县、乡、</w:t>
      </w:r>
      <w:r>
        <w:rPr>
          <w:rFonts w:hint="eastAsia" w:ascii="仿宋_GB2312" w:hAnsi="仿宋_GB2312" w:eastAsia="仿宋_GB2312" w:cs="仿宋_GB2312"/>
          <w:sz w:val="32"/>
          <w:szCs w:val="32"/>
          <w:lang w:val="en-US" w:eastAsia="zh-CN"/>
        </w:rPr>
        <w:t>村属地责任和家庭、学校监护</w:t>
      </w:r>
      <w:r>
        <w:rPr>
          <w:rFonts w:hint="eastAsia" w:ascii="仿宋_GB2312" w:hAnsi="仿宋_GB2312" w:eastAsia="仿宋_GB2312" w:cs="仿宋_GB2312"/>
          <w:sz w:val="32"/>
          <w:szCs w:val="32"/>
        </w:rPr>
        <w:t>责任。全面摸排0—6岁儿童健康管理服务现状、孤独症筛查能力及“五健”相关干预资源配备情况。同步排查农村学校食谱落实、体美劳课时、体育活动时长、心理师资、阵地建设、重点儿童底数等情况，建立问题清单、整改清单、责任清单。完成营养管理员、专兼职心理教师岗前培训。</w:t>
      </w:r>
    </w:p>
    <w:p w14:paraId="786C8455">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（二）全面推进、集中攻坚阶段</w:t>
      </w:r>
    </w:p>
    <w:p w14:paraId="7CE126C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全面铺开0—6岁儿童健康管理规范化服务、孤独症筛查及转介干预工作，深入推进“五健”促进行动。</w:t>
      </w:r>
      <w:r>
        <w:rPr>
          <w:rFonts w:hint="eastAsia" w:ascii="仿宋_GB2312" w:hAnsi="仿宋_GB2312" w:eastAsia="仿宋_GB2312" w:cs="仿宋_GB2312"/>
          <w:sz w:val="32"/>
          <w:szCs w:val="32"/>
          <w:lang w:val="en-US" w:eastAsia="zh-CN"/>
        </w:rPr>
        <w:t>落实</w:t>
      </w:r>
      <w:r>
        <w:rPr>
          <w:rFonts w:hint="eastAsia" w:ascii="仿宋_GB2312" w:hAnsi="仿宋_GB2312" w:eastAsia="仿宋_GB2312" w:cs="仿宋_GB2312"/>
          <w:sz w:val="32"/>
          <w:szCs w:val="32"/>
        </w:rPr>
        <w:t>带量食谱、陪餐督餐、分级营养干预等制度；刚性落实体美劳课程及每日体育活动要求，打造乡土体育特色项目。实现农村学校心理师资、服务阵地全覆盖，开展全员心理筛查，常态化运行三色预警、医教转介机制。完成重点群体台账建立与结对关爱，常态化开展家访、家长课堂。实行每月调度、每季度督查、半年</w:t>
      </w:r>
      <w:r>
        <w:rPr>
          <w:rFonts w:hint="eastAsia" w:ascii="仿宋_GB2312" w:hAnsi="仿宋_GB2312" w:eastAsia="仿宋_GB2312" w:cs="仿宋_GB2312"/>
          <w:sz w:val="32"/>
          <w:szCs w:val="32"/>
          <w:lang w:eastAsia="zh-CN"/>
        </w:rPr>
        <w:t>通报制度</w:t>
      </w:r>
      <w:r>
        <w:rPr>
          <w:rFonts w:hint="eastAsia" w:ascii="仿宋_GB2312" w:hAnsi="仿宋_GB2312" w:eastAsia="仿宋_GB2312" w:cs="仿宋_GB2312"/>
          <w:sz w:val="32"/>
          <w:szCs w:val="32"/>
        </w:rPr>
        <w:t>，集中攻坚突出问题。</w:t>
      </w:r>
    </w:p>
    <w:p w14:paraId="24A2A7AD">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（三）巩固提升、长效提质阶段</w:t>
      </w:r>
    </w:p>
    <w:p w14:paraId="4F34BE2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照目标开展全面评估，整改遗留问题。系统评估0—6岁健康管理、孤独症筛查及“五健”行动实施成效。总结提炼农村地区可复制、可推广的工作经验与典型案例，完善各项管理制度，构建常态化、长效化工作机制，持续提升农村儿童身心健康服务水平。</w:t>
      </w:r>
    </w:p>
    <w:p w14:paraId="5697424D">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四、保障措施</w:t>
      </w:r>
    </w:p>
    <w:p w14:paraId="7478F9CD">
      <w:pPr>
        <w:spacing w:line="560" w:lineRule="exact"/>
        <w:ind w:firstLine="643" w:firstLineChars="200"/>
        <w:rPr>
          <w:rFonts w:ascii="仿宋_GB2312" w:hAnsi="仿宋_GB2312" w:eastAsia="仿宋_GB2312" w:cs="仿宋_GB2312"/>
          <w:b/>
          <w:bCs/>
          <w:sz w:val="32"/>
          <w:szCs w:val="32"/>
        </w:rPr>
      </w:pPr>
      <w:r>
        <w:rPr>
          <w:rFonts w:hint="eastAsia" w:ascii="楷体_GB2312" w:hAnsi="楷体_GB2312" w:eastAsia="楷体_GB2312" w:cs="楷体_GB2312"/>
          <w:b/>
          <w:bCs/>
          <w:sz w:val="32"/>
          <w:szCs w:val="32"/>
        </w:rPr>
        <w:t>（一）健全四级责任体系</w:t>
      </w:r>
    </w:p>
    <w:p w14:paraId="5041ABD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构建市级统筹、县区主抓、乡镇落地、学校执行四级责任体系。</w:t>
      </w:r>
      <w:r>
        <w:rPr>
          <w:rFonts w:hint="eastAsia" w:ascii="仿宋_GB2312" w:hAnsi="仿宋_GB2312" w:eastAsia="仿宋_GB2312" w:cs="仿宋_GB2312"/>
          <w:sz w:val="32"/>
          <w:szCs w:val="32"/>
          <w:lang w:val="en-US" w:eastAsia="zh-CN"/>
        </w:rPr>
        <w:t>由市委农村工作领导小组办公室</w:t>
      </w:r>
      <w:r>
        <w:rPr>
          <w:rFonts w:hint="eastAsia" w:ascii="仿宋_GB2312" w:hAnsi="仿宋_GB2312" w:eastAsia="仿宋_GB2312" w:cs="仿宋_GB2312"/>
          <w:sz w:val="32"/>
          <w:szCs w:val="32"/>
        </w:rPr>
        <w:t>牵头，卫健部门统筹0—6岁儿童健康管理、孤独症筛查及“五健”行动的落实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教体</w:t>
      </w:r>
      <w:r>
        <w:rPr>
          <w:rFonts w:hint="eastAsia" w:ascii="仿宋_GB2312" w:hAnsi="仿宋_GB2312" w:eastAsia="仿宋_GB2312" w:cs="仿宋_GB2312"/>
          <w:sz w:val="32"/>
          <w:szCs w:val="32"/>
        </w:rPr>
        <w:t>部门统筹</w:t>
      </w:r>
      <w:r>
        <w:rPr>
          <w:rFonts w:hint="eastAsia" w:ascii="仿宋_GB2312" w:hAnsi="仿宋_GB2312" w:eastAsia="仿宋_GB2312" w:cs="仿宋_GB2312"/>
          <w:sz w:val="32"/>
          <w:szCs w:val="32"/>
          <w:lang w:val="en-US" w:eastAsia="zh-CN"/>
        </w:rPr>
        <w:t>在校（园）少年儿童</w:t>
      </w:r>
      <w:r>
        <w:rPr>
          <w:rFonts w:hint="eastAsia" w:ascii="仿宋_GB2312" w:hAnsi="仿宋_GB2312" w:eastAsia="仿宋_GB2312" w:cs="仿宋_GB2312"/>
          <w:sz w:val="32"/>
          <w:szCs w:val="32"/>
        </w:rPr>
        <w:t>身心健康</w:t>
      </w:r>
      <w:r>
        <w:rPr>
          <w:rFonts w:hint="eastAsia" w:ascii="仿宋_GB2312" w:hAnsi="仿宋_GB2312" w:eastAsia="仿宋_GB2312" w:cs="仿宋_GB2312"/>
          <w:sz w:val="32"/>
          <w:szCs w:val="32"/>
          <w:lang w:val="en-US" w:eastAsia="zh-CN"/>
        </w:rPr>
        <w:t>行动的落实</w:t>
      </w:r>
      <w:r>
        <w:rPr>
          <w:rFonts w:hint="eastAsia" w:ascii="仿宋_GB2312" w:hAnsi="仿宋_GB2312" w:eastAsia="仿宋_GB2312" w:cs="仿宋_GB2312"/>
          <w:sz w:val="32"/>
          <w:szCs w:val="32"/>
        </w:rPr>
        <w:t>。农业农村、市场监管、</w:t>
      </w:r>
      <w:r>
        <w:rPr>
          <w:rFonts w:hint="eastAsia" w:ascii="仿宋_GB2312" w:hAnsi="仿宋_GB2312" w:eastAsia="仿宋_GB2312" w:cs="仿宋_GB2312"/>
          <w:sz w:val="32"/>
          <w:szCs w:val="32"/>
          <w:lang w:val="en-US" w:eastAsia="zh-CN"/>
        </w:rPr>
        <w:t>公安、</w:t>
      </w:r>
      <w:r>
        <w:rPr>
          <w:rFonts w:hint="eastAsia" w:ascii="仿宋_GB2312" w:hAnsi="仿宋_GB2312" w:eastAsia="仿宋_GB2312" w:cs="仿宋_GB2312"/>
          <w:sz w:val="32"/>
          <w:szCs w:val="32"/>
        </w:rPr>
        <w:t>民政、妇联、残联、团市委、关工委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宣传</w:t>
      </w:r>
      <w:r>
        <w:rPr>
          <w:rFonts w:hint="eastAsia" w:ascii="仿宋_GB2312" w:hAnsi="仿宋_GB2312" w:eastAsia="仿宋_GB2312" w:cs="仿宋_GB2312"/>
          <w:sz w:val="32"/>
          <w:szCs w:val="32"/>
        </w:rPr>
        <w:t>等部门各司其职、协同联动；各县（市、区）、乡镇落实属地</w:t>
      </w:r>
      <w:r>
        <w:rPr>
          <w:rFonts w:hint="eastAsia" w:ascii="仿宋_GB2312" w:hAnsi="仿宋_GB2312" w:eastAsia="仿宋_GB2312" w:cs="仿宋_GB2312"/>
          <w:sz w:val="32"/>
          <w:szCs w:val="32"/>
          <w:lang w:eastAsia="zh-CN"/>
        </w:rPr>
        <w:t>主体</w:t>
      </w:r>
      <w:r>
        <w:rPr>
          <w:rFonts w:hint="eastAsia" w:ascii="仿宋_GB2312" w:hAnsi="仿宋_GB2312" w:eastAsia="仿宋_GB2312" w:cs="仿宋_GB2312"/>
          <w:sz w:val="32"/>
          <w:szCs w:val="32"/>
        </w:rPr>
        <w:t>责任；农村学校、幼儿园、乡镇卫生院主要负责人为本单位第一责任人，任务分解到岗、责任明确到人。建立跨部门联席会议制度，联合处置各类难点问题。</w:t>
      </w:r>
    </w:p>
    <w:p w14:paraId="60EC8965">
      <w:pPr>
        <w:spacing w:line="560" w:lineRule="exact"/>
        <w:ind w:firstLine="643" w:firstLineChars="200"/>
        <w:rPr>
          <w:rFonts w:ascii="仿宋_GB2312" w:hAnsi="仿宋_GB2312" w:eastAsia="仿宋_GB2312" w:cs="仿宋_GB2312"/>
          <w:b/>
          <w:bCs/>
          <w:sz w:val="32"/>
          <w:szCs w:val="32"/>
        </w:rPr>
      </w:pPr>
      <w:r>
        <w:rPr>
          <w:rFonts w:hint="eastAsia" w:ascii="楷体_GB2312" w:hAnsi="楷体_GB2312" w:eastAsia="楷体_GB2312" w:cs="楷体_GB2312"/>
          <w:b/>
          <w:bCs/>
          <w:sz w:val="32"/>
          <w:szCs w:val="32"/>
        </w:rPr>
        <w:t>（二）强化经费与硬件保障</w:t>
      </w:r>
    </w:p>
    <w:p w14:paraId="31FEA35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县两级在薄弱环节改善与能力提升项目和义务教育优质均衡发展等资金分配时，重点向农村地区倾斜，保障食堂改造、体育与心理设施建设、器材购置、师资培训、健康筛查、关爱帮扶等支出。鼓励社会组织、爱心企业捐资助力，拓宽经费来源。持续改善农村学校食堂、运动场地、心理驿站等硬件条件。</w:t>
      </w:r>
    </w:p>
    <w:p w14:paraId="7EE4EC08">
      <w:pPr>
        <w:spacing w:line="560" w:lineRule="exact"/>
        <w:ind w:firstLine="643" w:firstLineChars="200"/>
        <w:rPr>
          <w:rFonts w:ascii="仿宋_GB2312" w:hAnsi="仿宋_GB2312" w:eastAsia="仿宋_GB2312" w:cs="仿宋_GB2312"/>
          <w:b/>
          <w:bCs/>
          <w:sz w:val="32"/>
          <w:szCs w:val="32"/>
        </w:rPr>
      </w:pPr>
      <w:r>
        <w:rPr>
          <w:rFonts w:hint="eastAsia" w:ascii="楷体_GB2312" w:hAnsi="楷体_GB2312" w:eastAsia="楷体_GB2312" w:cs="楷体_GB2312"/>
          <w:b/>
          <w:bCs/>
          <w:sz w:val="32"/>
          <w:szCs w:val="32"/>
        </w:rPr>
        <w:t>（三）严格</w:t>
      </w:r>
      <w:r>
        <w:rPr>
          <w:rFonts w:hint="eastAsia" w:ascii="楷体_GB2312" w:hAnsi="楷体_GB2312" w:eastAsia="楷体_GB2312" w:cs="楷体_GB2312"/>
          <w:b/>
          <w:bCs/>
          <w:sz w:val="32"/>
          <w:szCs w:val="32"/>
          <w:lang w:val="en-US" w:eastAsia="zh-CN"/>
        </w:rPr>
        <w:t>监督考核</w:t>
      </w:r>
      <w:r>
        <w:rPr>
          <w:rFonts w:hint="eastAsia" w:ascii="楷体_GB2312" w:hAnsi="楷体_GB2312" w:eastAsia="楷体_GB2312" w:cs="楷体_GB2312"/>
          <w:b/>
          <w:bCs/>
          <w:sz w:val="32"/>
          <w:szCs w:val="32"/>
        </w:rPr>
        <w:t>问责</w:t>
      </w:r>
    </w:p>
    <w:p w14:paraId="7232EE38">
      <w:pPr>
        <w:spacing w:line="56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采取“四不两直”抽查、季度督查、年终考核相结合的方式，对</w:t>
      </w:r>
      <w:r>
        <w:rPr>
          <w:rFonts w:hint="eastAsia" w:ascii="仿宋_GB2312" w:hAnsi="仿宋_GB2312" w:eastAsia="仿宋_GB2312" w:cs="仿宋_GB2312"/>
          <w:color w:val="FF0000"/>
          <w:sz w:val="32"/>
          <w:szCs w:val="32"/>
          <w:lang w:val="en-US" w:eastAsia="zh-CN"/>
        </w:rPr>
        <w:t>儿童健康管理服务不到位、孤独症筛查工作不全面以及</w:t>
      </w:r>
      <w:r>
        <w:rPr>
          <w:rFonts w:hint="eastAsia" w:ascii="仿宋_GB2312" w:hAnsi="仿宋_GB2312" w:eastAsia="仿宋_GB2312" w:cs="仿宋_GB2312"/>
          <w:color w:val="FF0000"/>
          <w:sz w:val="32"/>
          <w:szCs w:val="32"/>
        </w:rPr>
        <w:t>农村学校出现课时挤占、体育</w:t>
      </w:r>
      <w:r>
        <w:rPr>
          <w:rFonts w:hint="eastAsia" w:ascii="仿宋_GB2312" w:hAnsi="仿宋_GB2312" w:eastAsia="仿宋_GB2312" w:cs="仿宋_GB2312"/>
          <w:color w:val="FF0000"/>
          <w:sz w:val="32"/>
          <w:szCs w:val="32"/>
          <w:lang w:val="en-US" w:eastAsia="zh-CN"/>
        </w:rPr>
        <w:t>运动</w:t>
      </w:r>
      <w:r>
        <w:rPr>
          <w:rFonts w:hint="eastAsia" w:ascii="仿宋_GB2312" w:hAnsi="仿宋_GB2312" w:eastAsia="仿宋_GB2312" w:cs="仿宋_GB2312"/>
          <w:color w:val="FF0000"/>
          <w:sz w:val="32"/>
          <w:szCs w:val="32"/>
        </w:rPr>
        <w:t>时长缩水、心理工作缺位等问题，及时通报、限期整改、严肃追责，坚决杜绝形式主义。</w:t>
      </w:r>
    </w:p>
    <w:p w14:paraId="2230CB68">
      <w:pPr>
        <w:spacing w:line="560" w:lineRule="exact"/>
        <w:ind w:firstLine="643" w:firstLineChars="200"/>
        <w:rPr>
          <w:rFonts w:ascii="仿宋_GB2312" w:hAnsi="仿宋_GB2312" w:eastAsia="仿宋_GB2312" w:cs="仿宋_GB2312"/>
          <w:b/>
          <w:bCs/>
          <w:sz w:val="32"/>
          <w:szCs w:val="32"/>
        </w:rPr>
      </w:pPr>
      <w:r>
        <w:rPr>
          <w:rFonts w:hint="eastAsia" w:ascii="楷体_GB2312" w:hAnsi="楷体_GB2312" w:eastAsia="楷体_GB2312" w:cs="楷体_GB2312"/>
          <w:b/>
          <w:bCs/>
          <w:sz w:val="32"/>
          <w:szCs w:val="32"/>
        </w:rPr>
        <w:t>（四）加强宣传示范引领</w:t>
      </w:r>
    </w:p>
    <w:p w14:paraId="2BE5662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依托市县主流媒体、政务新媒体、镇村宣传阵地，常态化宣传政策要求、基层工作成效、先进典型案例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在全市营造全社会共同关心、支持农村</w:t>
      </w:r>
      <w:r>
        <w:rPr>
          <w:rFonts w:hint="eastAsia" w:ascii="仿宋_GB2312" w:hAnsi="仿宋_GB2312" w:eastAsia="仿宋_GB2312" w:cs="仿宋_GB2312"/>
          <w:sz w:val="32"/>
          <w:szCs w:val="32"/>
          <w:lang w:val="en-US" w:eastAsia="zh-CN"/>
        </w:rPr>
        <w:t>地区少年</w:t>
      </w:r>
      <w:r>
        <w:rPr>
          <w:rFonts w:hint="eastAsia" w:ascii="仿宋_GB2312" w:hAnsi="仿宋_GB2312" w:eastAsia="仿宋_GB2312" w:cs="仿宋_GB2312"/>
          <w:sz w:val="32"/>
          <w:szCs w:val="32"/>
        </w:rPr>
        <w:t>儿童身心健康的浓厚氛围。</w:t>
      </w:r>
    </w:p>
    <w:p w14:paraId="2AC02C6B">
      <w:pPr>
        <w:spacing w:line="560" w:lineRule="exact"/>
        <w:ind w:firstLine="640" w:firstLineChars="200"/>
        <w:rPr>
          <w:rFonts w:ascii="仿宋_GB2312" w:hAnsi="仿宋_GB2312" w:eastAsia="仿宋_GB2312" w:cs="仿宋_GB2312"/>
          <w:sz w:val="32"/>
          <w:szCs w:val="32"/>
        </w:rPr>
      </w:pPr>
    </w:p>
    <w:p w14:paraId="3809F25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附件：全市农村地区</w:t>
      </w:r>
      <w:r>
        <w:rPr>
          <w:rFonts w:hint="eastAsia" w:ascii="仿宋_GB2312" w:hAnsi="仿宋_GB2312" w:eastAsia="仿宋_GB2312" w:cs="仿宋_GB2312"/>
          <w:sz w:val="32"/>
          <w:szCs w:val="32"/>
          <w:lang w:val="en-US" w:eastAsia="zh-CN"/>
        </w:rPr>
        <w:t>少年</w:t>
      </w:r>
      <w:r>
        <w:rPr>
          <w:rFonts w:hint="eastAsia" w:ascii="仿宋_GB2312" w:hAnsi="仿宋_GB2312" w:eastAsia="仿宋_GB2312" w:cs="仿宋_GB2312"/>
          <w:sz w:val="32"/>
          <w:szCs w:val="32"/>
        </w:rPr>
        <w:t>儿童身心健康提质增效专项行动年度量化考核任务清单</w:t>
      </w:r>
    </w:p>
    <w:p w14:paraId="3BC8485E">
      <w:pPr>
        <w:spacing w:line="560" w:lineRule="exact"/>
        <w:rPr>
          <w:rFonts w:ascii="仿宋" w:hAnsi="仿宋" w:eastAsia="仿宋" w:cs="仿宋"/>
          <w:color w:val="000000"/>
          <w:sz w:val="32"/>
          <w:szCs w:val="32"/>
        </w:rPr>
      </w:pPr>
    </w:p>
    <w:p w14:paraId="63C137A1">
      <w:pPr>
        <w:spacing w:line="560" w:lineRule="exact"/>
        <w:ind w:firstLine="640" w:firstLineChars="200"/>
        <w:rPr>
          <w:rFonts w:ascii="仿宋" w:hAnsi="仿宋" w:eastAsia="仿宋" w:cs="仿宋"/>
          <w:color w:val="000000"/>
          <w:sz w:val="32"/>
          <w:szCs w:val="32"/>
        </w:rPr>
        <w:sectPr>
          <w:footerReference r:id="rId3" w:type="default"/>
          <w:pgSz w:w="11906" w:h="16838"/>
          <w:pgMar w:top="1440" w:right="1800" w:bottom="1440" w:left="1800" w:header="851" w:footer="992" w:gutter="0"/>
          <w:cols w:space="425" w:num="1"/>
          <w:docGrid w:type="lines" w:linePitch="312" w:charSpace="0"/>
        </w:sectPr>
      </w:pPr>
    </w:p>
    <w:p w14:paraId="109E426C">
      <w:pPr>
        <w:spacing w:line="560" w:lineRule="exact"/>
        <w:rPr>
          <w:rFonts w:ascii="黑体" w:hAnsi="黑体" w:eastAsia="黑体" w:cs="黑体"/>
          <w:color w:val="000000"/>
          <w:sz w:val="32"/>
          <w:szCs w:val="32"/>
        </w:rPr>
      </w:pPr>
      <w:r>
        <w:rPr>
          <w:rFonts w:hint="eastAsia" w:ascii="黑体" w:hAnsi="黑体" w:eastAsia="黑体" w:cs="黑体"/>
          <w:color w:val="000000"/>
          <w:sz w:val="32"/>
          <w:szCs w:val="32"/>
        </w:rPr>
        <w:t>附件</w:t>
      </w:r>
    </w:p>
    <w:p w14:paraId="5724F0DB">
      <w:pPr>
        <w:widowControl/>
        <w:spacing w:line="56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全市农村地区</w:t>
      </w:r>
      <w:r>
        <w:rPr>
          <w:rFonts w:hint="eastAsia" w:ascii="方正小标宋简体" w:hAnsi="方正小标宋简体" w:eastAsia="方正小标宋简体" w:cs="方正小标宋简体"/>
          <w:color w:val="000000"/>
          <w:sz w:val="36"/>
          <w:szCs w:val="36"/>
          <w:lang w:val="en-US" w:eastAsia="zh-CN"/>
        </w:rPr>
        <w:t>少年</w:t>
      </w:r>
      <w:r>
        <w:rPr>
          <w:rFonts w:hint="eastAsia" w:ascii="方正小标宋简体" w:hAnsi="方正小标宋简体" w:eastAsia="方正小标宋简体" w:cs="方正小标宋简体"/>
          <w:color w:val="000000"/>
          <w:sz w:val="36"/>
          <w:szCs w:val="36"/>
        </w:rPr>
        <w:t>儿童身心健康提质增效专项行动年度量化考核任务清单</w:t>
      </w:r>
    </w:p>
    <w:p w14:paraId="081448E2">
      <w:pPr>
        <w:spacing w:line="560" w:lineRule="exact"/>
        <w:jc w:val="center"/>
        <w:rPr>
          <w:rFonts w:ascii="仿宋" w:hAnsi="仿宋" w:eastAsia="仿宋" w:cs="仿宋"/>
          <w:color w:val="000000"/>
          <w:sz w:val="32"/>
          <w:szCs w:val="32"/>
        </w:rPr>
      </w:pPr>
    </w:p>
    <w:tbl>
      <w:tblPr>
        <w:tblStyle w:val="7"/>
        <w:tblW w:w="140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13"/>
        <w:gridCol w:w="1448"/>
        <w:gridCol w:w="3408"/>
        <w:gridCol w:w="2428"/>
        <w:gridCol w:w="2444"/>
        <w:gridCol w:w="1485"/>
        <w:gridCol w:w="1951"/>
      </w:tblGrid>
      <w:tr w14:paraId="1D42A1E5">
        <w:tblPrEx>
          <w:tblLayout w:type="fixed"/>
        </w:tblPrEx>
        <w:trPr>
          <w:trHeight w:val="1058" w:hRule="atLeast"/>
          <w:tblHeader/>
          <w:jc w:val="center"/>
        </w:trPr>
        <w:tc>
          <w:tcPr>
            <w:tcW w:w="913" w:type="dxa"/>
            <w:tcBorders>
              <w:tl2br w:val="nil"/>
              <w:tr2bl w:val="nil"/>
            </w:tcBorders>
            <w:shd w:val="clear" w:color="auto" w:fill="F2F3F5"/>
            <w:tcMar>
              <w:top w:w="120" w:type="dxa"/>
              <w:left w:w="120" w:type="dxa"/>
              <w:bottom w:w="120" w:type="dxa"/>
              <w:right w:w="120" w:type="dxa"/>
            </w:tcMar>
            <w:vAlign w:val="center"/>
          </w:tcPr>
          <w:p w14:paraId="51AF8ECC">
            <w:pPr>
              <w:widowControl/>
              <w:adjustRightInd w:val="0"/>
              <w:snapToGrid w:val="0"/>
              <w:jc w:val="center"/>
              <w:textAlignment w:val="top"/>
              <w:rPr>
                <w:rFonts w:ascii="黑体" w:hAnsi="黑体" w:eastAsia="黑体" w:cs="黑体"/>
                <w:sz w:val="24"/>
              </w:rPr>
            </w:pPr>
            <w:r>
              <w:rPr>
                <w:rFonts w:hint="eastAsia" w:ascii="黑体" w:hAnsi="黑体" w:eastAsia="黑体" w:cs="黑体"/>
                <w:kern w:val="0"/>
                <w:sz w:val="24"/>
              </w:rPr>
              <w:t>一级任务板块</w:t>
            </w:r>
          </w:p>
        </w:tc>
        <w:tc>
          <w:tcPr>
            <w:tcW w:w="1448" w:type="dxa"/>
            <w:tcBorders>
              <w:tl2br w:val="nil"/>
              <w:tr2bl w:val="nil"/>
            </w:tcBorders>
            <w:shd w:val="clear" w:color="auto" w:fill="F2F3F5"/>
            <w:tcMar>
              <w:top w:w="120" w:type="dxa"/>
              <w:left w:w="120" w:type="dxa"/>
              <w:bottom w:w="120" w:type="dxa"/>
              <w:right w:w="120" w:type="dxa"/>
            </w:tcMar>
            <w:vAlign w:val="center"/>
          </w:tcPr>
          <w:p w14:paraId="01DFFBC0">
            <w:pPr>
              <w:widowControl/>
              <w:adjustRightInd w:val="0"/>
              <w:snapToGrid w:val="0"/>
              <w:jc w:val="center"/>
              <w:textAlignment w:val="top"/>
              <w:rPr>
                <w:rFonts w:ascii="黑体" w:hAnsi="黑体" w:eastAsia="黑体" w:cs="黑体"/>
                <w:sz w:val="24"/>
              </w:rPr>
            </w:pPr>
            <w:r>
              <w:rPr>
                <w:rFonts w:hint="eastAsia" w:ascii="黑体" w:hAnsi="黑体" w:eastAsia="黑体" w:cs="黑体"/>
                <w:kern w:val="0"/>
                <w:sz w:val="24"/>
              </w:rPr>
              <w:t>二级具体考核指标</w:t>
            </w:r>
          </w:p>
        </w:tc>
        <w:tc>
          <w:tcPr>
            <w:tcW w:w="3408" w:type="dxa"/>
            <w:tcBorders>
              <w:tl2br w:val="nil"/>
              <w:tr2bl w:val="nil"/>
            </w:tcBorders>
            <w:shd w:val="clear" w:color="auto" w:fill="F2F3F5"/>
            <w:tcMar>
              <w:top w:w="120" w:type="dxa"/>
              <w:left w:w="120" w:type="dxa"/>
              <w:bottom w:w="120" w:type="dxa"/>
              <w:right w:w="120" w:type="dxa"/>
            </w:tcMar>
            <w:vAlign w:val="center"/>
          </w:tcPr>
          <w:p w14:paraId="7B8E1E7D">
            <w:pPr>
              <w:widowControl/>
              <w:adjustRightInd w:val="0"/>
              <w:snapToGrid w:val="0"/>
              <w:jc w:val="center"/>
              <w:textAlignment w:val="top"/>
              <w:rPr>
                <w:rFonts w:ascii="黑体" w:hAnsi="黑体" w:eastAsia="黑体" w:cs="黑体"/>
                <w:kern w:val="0"/>
                <w:sz w:val="24"/>
              </w:rPr>
            </w:pPr>
            <w:r>
              <w:rPr>
                <w:rFonts w:hint="eastAsia" w:ascii="黑体" w:hAnsi="黑体" w:eastAsia="黑体" w:cs="黑体"/>
                <w:kern w:val="0"/>
                <w:sz w:val="24"/>
              </w:rPr>
              <w:t>2026</w:t>
            </w:r>
            <w:r>
              <w:rPr>
                <w:rFonts w:hint="eastAsia" w:ascii="黑体" w:hAnsi="黑体" w:eastAsia="黑体" w:cs="黑体"/>
                <w:kern w:val="0"/>
                <w:sz w:val="24"/>
                <w:lang w:eastAsia="zh-CN"/>
              </w:rPr>
              <w:t>—</w:t>
            </w:r>
            <w:r>
              <w:rPr>
                <w:rFonts w:hint="eastAsia" w:ascii="黑体" w:hAnsi="黑体" w:eastAsia="黑体" w:cs="黑体"/>
                <w:kern w:val="0"/>
                <w:sz w:val="24"/>
              </w:rPr>
              <w:t>2027年</w:t>
            </w:r>
          </w:p>
          <w:p w14:paraId="41617080">
            <w:pPr>
              <w:widowControl/>
              <w:adjustRightInd w:val="0"/>
              <w:snapToGrid w:val="0"/>
              <w:jc w:val="center"/>
              <w:textAlignment w:val="top"/>
              <w:rPr>
                <w:rFonts w:ascii="黑体" w:hAnsi="黑体" w:eastAsia="黑体" w:cs="黑体"/>
                <w:sz w:val="24"/>
              </w:rPr>
            </w:pPr>
            <w:r>
              <w:rPr>
                <w:rFonts w:hint="eastAsia" w:ascii="黑体" w:hAnsi="黑体" w:eastAsia="黑体" w:cs="黑体"/>
                <w:kern w:val="0"/>
                <w:sz w:val="24"/>
              </w:rPr>
              <w:t>（夯实阶段量化目标）</w:t>
            </w:r>
          </w:p>
        </w:tc>
        <w:tc>
          <w:tcPr>
            <w:tcW w:w="2428" w:type="dxa"/>
            <w:tcBorders>
              <w:tl2br w:val="nil"/>
              <w:tr2bl w:val="nil"/>
            </w:tcBorders>
            <w:shd w:val="clear" w:color="auto" w:fill="F2F3F5"/>
            <w:tcMar>
              <w:top w:w="120" w:type="dxa"/>
              <w:left w:w="120" w:type="dxa"/>
              <w:bottom w:w="120" w:type="dxa"/>
              <w:right w:w="120" w:type="dxa"/>
            </w:tcMar>
            <w:vAlign w:val="center"/>
          </w:tcPr>
          <w:p w14:paraId="11479BC6">
            <w:pPr>
              <w:widowControl/>
              <w:adjustRightInd w:val="0"/>
              <w:snapToGrid w:val="0"/>
              <w:jc w:val="center"/>
              <w:textAlignment w:val="top"/>
              <w:rPr>
                <w:rFonts w:ascii="黑体" w:hAnsi="黑体" w:eastAsia="黑体" w:cs="黑体"/>
                <w:kern w:val="0"/>
                <w:sz w:val="24"/>
              </w:rPr>
            </w:pPr>
            <w:r>
              <w:rPr>
                <w:rFonts w:hint="eastAsia" w:ascii="黑体" w:hAnsi="黑体" w:eastAsia="黑体" w:cs="黑体"/>
                <w:kern w:val="0"/>
                <w:sz w:val="24"/>
              </w:rPr>
              <w:t>2028年</w:t>
            </w:r>
          </w:p>
          <w:p w14:paraId="0AF5DAC7">
            <w:pPr>
              <w:widowControl/>
              <w:adjustRightInd w:val="0"/>
              <w:snapToGrid w:val="0"/>
              <w:jc w:val="center"/>
              <w:textAlignment w:val="top"/>
              <w:rPr>
                <w:rFonts w:ascii="黑体" w:hAnsi="黑体" w:eastAsia="黑体" w:cs="黑体"/>
                <w:sz w:val="24"/>
              </w:rPr>
            </w:pPr>
            <w:r>
              <w:rPr>
                <w:rFonts w:hint="eastAsia" w:ascii="黑体" w:hAnsi="黑体" w:eastAsia="黑体" w:cs="黑体"/>
                <w:kern w:val="0"/>
                <w:sz w:val="24"/>
              </w:rPr>
              <w:t>（全面达标阶段量化目标）</w:t>
            </w:r>
          </w:p>
        </w:tc>
        <w:tc>
          <w:tcPr>
            <w:tcW w:w="2444" w:type="dxa"/>
            <w:tcBorders>
              <w:tl2br w:val="nil"/>
              <w:tr2bl w:val="nil"/>
            </w:tcBorders>
            <w:shd w:val="clear" w:color="auto" w:fill="F2F3F5"/>
            <w:tcMar>
              <w:top w:w="120" w:type="dxa"/>
              <w:left w:w="120" w:type="dxa"/>
              <w:bottom w:w="120" w:type="dxa"/>
              <w:right w:w="120" w:type="dxa"/>
            </w:tcMar>
            <w:vAlign w:val="center"/>
          </w:tcPr>
          <w:p w14:paraId="188A6D01">
            <w:pPr>
              <w:widowControl/>
              <w:adjustRightInd w:val="0"/>
              <w:snapToGrid w:val="0"/>
              <w:jc w:val="center"/>
              <w:textAlignment w:val="top"/>
              <w:rPr>
                <w:rFonts w:ascii="黑体" w:hAnsi="黑体" w:eastAsia="黑体" w:cs="黑体"/>
                <w:sz w:val="24"/>
              </w:rPr>
            </w:pPr>
            <w:r>
              <w:rPr>
                <w:rFonts w:hint="eastAsia" w:ascii="黑体" w:hAnsi="黑体" w:eastAsia="黑体" w:cs="黑体"/>
                <w:kern w:val="0"/>
                <w:sz w:val="24"/>
              </w:rPr>
              <w:t>2029年及以后                        （长期巩固提质目标）</w:t>
            </w:r>
          </w:p>
        </w:tc>
        <w:tc>
          <w:tcPr>
            <w:tcW w:w="1485" w:type="dxa"/>
            <w:tcBorders>
              <w:tl2br w:val="nil"/>
              <w:tr2bl w:val="nil"/>
            </w:tcBorders>
            <w:shd w:val="clear" w:color="auto" w:fill="F2F3F5"/>
            <w:tcMar>
              <w:top w:w="120" w:type="dxa"/>
              <w:left w:w="120" w:type="dxa"/>
              <w:bottom w:w="120" w:type="dxa"/>
              <w:right w:w="120" w:type="dxa"/>
            </w:tcMar>
            <w:vAlign w:val="center"/>
          </w:tcPr>
          <w:p w14:paraId="77409F9A">
            <w:pPr>
              <w:widowControl/>
              <w:adjustRightInd w:val="0"/>
              <w:snapToGrid w:val="0"/>
              <w:jc w:val="center"/>
              <w:textAlignment w:val="top"/>
              <w:rPr>
                <w:rFonts w:ascii="黑体" w:hAnsi="黑体" w:eastAsia="黑体" w:cs="黑体"/>
                <w:sz w:val="24"/>
              </w:rPr>
            </w:pPr>
            <w:r>
              <w:rPr>
                <w:rFonts w:hint="eastAsia" w:ascii="黑体" w:hAnsi="黑体" w:eastAsia="黑体" w:cs="黑体"/>
                <w:kern w:val="0"/>
                <w:sz w:val="24"/>
              </w:rPr>
              <w:t>责任主体</w:t>
            </w:r>
          </w:p>
        </w:tc>
        <w:tc>
          <w:tcPr>
            <w:tcW w:w="1951" w:type="dxa"/>
            <w:tcBorders>
              <w:tl2br w:val="nil"/>
              <w:tr2bl w:val="nil"/>
            </w:tcBorders>
            <w:shd w:val="clear" w:color="auto" w:fill="F2F3F5"/>
            <w:tcMar>
              <w:top w:w="120" w:type="dxa"/>
              <w:left w:w="120" w:type="dxa"/>
              <w:bottom w:w="120" w:type="dxa"/>
              <w:right w:w="120" w:type="dxa"/>
            </w:tcMar>
            <w:vAlign w:val="center"/>
          </w:tcPr>
          <w:p w14:paraId="5ACAD579">
            <w:pPr>
              <w:widowControl/>
              <w:adjustRightInd w:val="0"/>
              <w:snapToGrid w:val="0"/>
              <w:jc w:val="center"/>
              <w:textAlignment w:val="top"/>
              <w:rPr>
                <w:rFonts w:ascii="黑体" w:hAnsi="黑体" w:eastAsia="黑体" w:cs="黑体"/>
                <w:sz w:val="24"/>
              </w:rPr>
            </w:pPr>
            <w:r>
              <w:rPr>
                <w:rFonts w:hint="eastAsia" w:ascii="黑体" w:hAnsi="黑体" w:eastAsia="黑体" w:cs="黑体"/>
                <w:kern w:val="0"/>
                <w:sz w:val="24"/>
              </w:rPr>
              <w:t>考核核验方式</w:t>
            </w:r>
          </w:p>
        </w:tc>
      </w:tr>
      <w:tr w14:paraId="4D143C77">
        <w:tblPrEx>
          <w:tblLayout w:type="fixed"/>
        </w:tblPrEx>
        <w:trPr>
          <w:trHeight w:val="1302" w:hRule="atLeast"/>
          <w:jc w:val="center"/>
        </w:trPr>
        <w:tc>
          <w:tcPr>
            <w:tcW w:w="913" w:type="dxa"/>
            <w:vMerge w:val="restart"/>
            <w:tcBorders>
              <w:tl2br w:val="nil"/>
              <w:tr2bl w:val="nil"/>
            </w:tcBorders>
            <w:shd w:val="clear" w:color="auto" w:fill="auto"/>
            <w:tcMar>
              <w:top w:w="120" w:type="dxa"/>
              <w:left w:w="120" w:type="dxa"/>
              <w:bottom w:w="120" w:type="dxa"/>
              <w:right w:w="120" w:type="dxa"/>
            </w:tcMar>
            <w:vAlign w:val="center"/>
          </w:tcPr>
          <w:p w14:paraId="2039ACC6">
            <w:pPr>
              <w:widowControl/>
              <w:adjustRightInd w:val="0"/>
              <w:snapToGrid w:val="0"/>
              <w:jc w:val="center"/>
              <w:textAlignment w:val="top"/>
              <w:rPr>
                <w:rStyle w:val="6"/>
                <w:rFonts w:ascii="宋体" w:hAnsi="宋体" w:eastAsia="宋体" w:cs="宋体"/>
                <w:kern w:val="0"/>
                <w:sz w:val="24"/>
              </w:rPr>
            </w:pPr>
            <w:r>
              <w:rPr>
                <w:rStyle w:val="6"/>
                <w:rFonts w:hint="eastAsia" w:ascii="宋体" w:hAnsi="宋体" w:eastAsia="宋体" w:cs="宋体"/>
                <w:kern w:val="0"/>
                <w:sz w:val="24"/>
              </w:rPr>
              <w:t>一、健康基础行动</w:t>
            </w:r>
          </w:p>
        </w:tc>
        <w:tc>
          <w:tcPr>
            <w:tcW w:w="1448" w:type="dxa"/>
            <w:tcBorders>
              <w:tl2br w:val="nil"/>
              <w:tr2bl w:val="nil"/>
            </w:tcBorders>
            <w:shd w:val="clear" w:color="auto" w:fill="auto"/>
            <w:tcMar>
              <w:top w:w="120" w:type="dxa"/>
              <w:left w:w="120" w:type="dxa"/>
              <w:bottom w:w="120" w:type="dxa"/>
              <w:right w:w="120" w:type="dxa"/>
            </w:tcMar>
            <w:vAlign w:val="center"/>
          </w:tcPr>
          <w:p w14:paraId="1B509CEA">
            <w:pPr>
              <w:widowControl/>
              <w:adjustRightInd w:val="0"/>
              <w:snapToGrid w:val="0"/>
              <w:textAlignment w:val="top"/>
              <w:rPr>
                <w:rFonts w:ascii="宋体" w:hAnsi="宋体" w:eastAsia="宋体" w:cs="宋体"/>
                <w:kern w:val="0"/>
                <w:sz w:val="24"/>
              </w:rPr>
            </w:pPr>
            <w:r>
              <w:rPr>
                <w:rFonts w:hint="eastAsia" w:ascii="宋体" w:hAnsi="宋体" w:eastAsia="宋体" w:cs="宋体"/>
                <w:kern w:val="0"/>
                <w:sz w:val="24"/>
              </w:rPr>
              <w:t>0—6岁儿童健康管理率</w:t>
            </w:r>
          </w:p>
        </w:tc>
        <w:tc>
          <w:tcPr>
            <w:tcW w:w="3408" w:type="dxa"/>
            <w:tcBorders>
              <w:tl2br w:val="nil"/>
              <w:tr2bl w:val="nil"/>
            </w:tcBorders>
            <w:shd w:val="clear" w:color="auto" w:fill="auto"/>
            <w:tcMar>
              <w:top w:w="120" w:type="dxa"/>
              <w:left w:w="120" w:type="dxa"/>
              <w:bottom w:w="120" w:type="dxa"/>
              <w:right w:w="120" w:type="dxa"/>
            </w:tcMar>
            <w:vAlign w:val="center"/>
          </w:tcPr>
          <w:p w14:paraId="494B0BB7">
            <w:pPr>
              <w:widowControl/>
              <w:adjustRightInd w:val="0"/>
              <w:snapToGrid w:val="0"/>
              <w:jc w:val="center"/>
              <w:textAlignment w:val="top"/>
              <w:rPr>
                <w:rFonts w:ascii="宋体" w:hAnsi="宋体" w:eastAsia="宋体" w:cs="宋体"/>
                <w:kern w:val="0"/>
                <w:sz w:val="24"/>
              </w:rPr>
            </w:pPr>
            <w:r>
              <w:rPr>
                <w:rFonts w:hint="eastAsia" w:ascii="宋体" w:hAnsi="宋体" w:eastAsia="宋体" w:cs="宋体"/>
                <w:kern w:val="0"/>
                <w:sz w:val="24"/>
              </w:rPr>
              <w:t>管理率≥85%</w:t>
            </w:r>
          </w:p>
        </w:tc>
        <w:tc>
          <w:tcPr>
            <w:tcW w:w="2428" w:type="dxa"/>
            <w:tcBorders>
              <w:tl2br w:val="nil"/>
              <w:tr2bl w:val="nil"/>
            </w:tcBorders>
            <w:shd w:val="clear" w:color="auto" w:fill="auto"/>
            <w:tcMar>
              <w:top w:w="120" w:type="dxa"/>
              <w:left w:w="120" w:type="dxa"/>
              <w:bottom w:w="120" w:type="dxa"/>
              <w:right w:w="120" w:type="dxa"/>
            </w:tcMar>
            <w:vAlign w:val="center"/>
          </w:tcPr>
          <w:p w14:paraId="5BF7AED0">
            <w:pPr>
              <w:widowControl/>
              <w:adjustRightInd w:val="0"/>
              <w:snapToGrid w:val="0"/>
              <w:jc w:val="center"/>
              <w:textAlignment w:val="top"/>
              <w:rPr>
                <w:rFonts w:ascii="宋体" w:hAnsi="宋体" w:eastAsia="宋体" w:cs="宋体"/>
                <w:kern w:val="0"/>
                <w:sz w:val="24"/>
              </w:rPr>
            </w:pPr>
            <w:r>
              <w:rPr>
                <w:rFonts w:hint="eastAsia" w:ascii="宋体" w:hAnsi="宋体" w:eastAsia="宋体" w:cs="宋体"/>
                <w:kern w:val="0"/>
                <w:sz w:val="24"/>
              </w:rPr>
              <w:t>管理率≥90%</w:t>
            </w:r>
          </w:p>
        </w:tc>
        <w:tc>
          <w:tcPr>
            <w:tcW w:w="2444" w:type="dxa"/>
            <w:tcBorders>
              <w:tl2br w:val="nil"/>
              <w:tr2bl w:val="nil"/>
            </w:tcBorders>
            <w:shd w:val="clear" w:color="auto" w:fill="auto"/>
            <w:tcMar>
              <w:top w:w="120" w:type="dxa"/>
              <w:left w:w="120" w:type="dxa"/>
              <w:bottom w:w="120" w:type="dxa"/>
              <w:right w:w="120" w:type="dxa"/>
            </w:tcMar>
            <w:vAlign w:val="center"/>
          </w:tcPr>
          <w:p w14:paraId="34C15A5D">
            <w:pPr>
              <w:widowControl/>
              <w:adjustRightInd w:val="0"/>
              <w:snapToGrid w:val="0"/>
              <w:jc w:val="center"/>
              <w:textAlignment w:val="top"/>
              <w:rPr>
                <w:rFonts w:ascii="宋体" w:hAnsi="宋体" w:eastAsia="宋体" w:cs="宋体"/>
                <w:kern w:val="0"/>
                <w:sz w:val="24"/>
              </w:rPr>
            </w:pPr>
            <w:r>
              <w:rPr>
                <w:rFonts w:hint="eastAsia" w:ascii="宋体" w:hAnsi="宋体" w:eastAsia="宋体" w:cs="宋体"/>
                <w:kern w:val="0"/>
                <w:sz w:val="24"/>
              </w:rPr>
              <w:t>健康管理</w:t>
            </w:r>
          </w:p>
          <w:p w14:paraId="132EBC0E">
            <w:pPr>
              <w:widowControl/>
              <w:adjustRightInd w:val="0"/>
              <w:snapToGrid w:val="0"/>
              <w:jc w:val="center"/>
              <w:textAlignment w:val="top"/>
              <w:rPr>
                <w:rFonts w:ascii="宋体" w:hAnsi="宋体" w:eastAsia="宋体" w:cs="宋体"/>
                <w:kern w:val="0"/>
                <w:sz w:val="24"/>
              </w:rPr>
            </w:pPr>
            <w:r>
              <w:rPr>
                <w:rFonts w:hint="eastAsia" w:ascii="宋体" w:hAnsi="宋体" w:eastAsia="宋体" w:cs="宋体"/>
                <w:kern w:val="0"/>
                <w:sz w:val="24"/>
              </w:rPr>
              <w:t>常态化开展</w:t>
            </w:r>
          </w:p>
        </w:tc>
        <w:tc>
          <w:tcPr>
            <w:tcW w:w="1485" w:type="dxa"/>
            <w:tcBorders>
              <w:tl2br w:val="nil"/>
              <w:tr2bl w:val="nil"/>
            </w:tcBorders>
            <w:shd w:val="clear" w:color="auto" w:fill="auto"/>
            <w:tcMar>
              <w:top w:w="120" w:type="dxa"/>
              <w:left w:w="120" w:type="dxa"/>
              <w:bottom w:w="120" w:type="dxa"/>
              <w:right w:w="120" w:type="dxa"/>
            </w:tcMar>
            <w:vAlign w:val="center"/>
          </w:tcPr>
          <w:p w14:paraId="7E6806E7">
            <w:pPr>
              <w:widowControl/>
              <w:adjustRightInd w:val="0"/>
              <w:snapToGrid w:val="0"/>
              <w:jc w:val="center"/>
              <w:textAlignment w:val="top"/>
              <w:rPr>
                <w:rFonts w:ascii="宋体" w:hAnsi="宋体" w:eastAsia="宋体" w:cs="宋体"/>
                <w:kern w:val="0"/>
                <w:sz w:val="24"/>
              </w:rPr>
            </w:pPr>
            <w:r>
              <w:rPr>
                <w:rFonts w:hint="eastAsia" w:ascii="宋体" w:hAnsi="宋体" w:eastAsia="宋体" w:cs="宋体"/>
                <w:kern w:val="0"/>
                <w:sz w:val="24"/>
              </w:rPr>
              <w:t>各县（市、区）卫健部门</w:t>
            </w:r>
          </w:p>
        </w:tc>
        <w:tc>
          <w:tcPr>
            <w:tcW w:w="1951" w:type="dxa"/>
            <w:tcBorders>
              <w:tl2br w:val="nil"/>
              <w:tr2bl w:val="nil"/>
            </w:tcBorders>
            <w:shd w:val="clear" w:color="auto" w:fill="auto"/>
            <w:tcMar>
              <w:top w:w="120" w:type="dxa"/>
              <w:left w:w="120" w:type="dxa"/>
              <w:bottom w:w="120" w:type="dxa"/>
              <w:right w:w="120" w:type="dxa"/>
            </w:tcMar>
            <w:vAlign w:val="center"/>
          </w:tcPr>
          <w:p w14:paraId="60B0CC21">
            <w:pPr>
              <w:widowControl/>
              <w:adjustRightInd w:val="0"/>
              <w:snapToGrid w:val="0"/>
              <w:textAlignment w:val="top"/>
              <w:rPr>
                <w:rFonts w:ascii="宋体" w:hAnsi="宋体" w:eastAsia="宋体" w:cs="宋体"/>
                <w:kern w:val="0"/>
                <w:sz w:val="24"/>
              </w:rPr>
            </w:pPr>
            <w:r>
              <w:rPr>
                <w:rFonts w:hint="eastAsia" w:ascii="宋体" w:hAnsi="宋体" w:eastAsia="宋体" w:cs="宋体"/>
                <w:kern w:val="0"/>
                <w:sz w:val="24"/>
              </w:rPr>
              <w:t>以省智医系统平台数据，结合省妇幼健康系统数据</w:t>
            </w:r>
          </w:p>
        </w:tc>
      </w:tr>
      <w:tr w14:paraId="5C71EB5A">
        <w:tblPrEx>
          <w:tblLayout w:type="fixed"/>
        </w:tblPrEx>
        <w:trPr>
          <w:trHeight w:val="869" w:hRule="atLeast"/>
          <w:jc w:val="center"/>
        </w:trPr>
        <w:tc>
          <w:tcPr>
            <w:tcW w:w="913" w:type="dxa"/>
            <w:vMerge w:val="continue"/>
            <w:tcBorders>
              <w:tl2br w:val="nil"/>
              <w:tr2bl w:val="nil"/>
            </w:tcBorders>
            <w:shd w:val="clear" w:color="auto" w:fill="auto"/>
            <w:tcMar>
              <w:top w:w="120" w:type="dxa"/>
              <w:left w:w="120" w:type="dxa"/>
              <w:bottom w:w="120" w:type="dxa"/>
              <w:right w:w="120" w:type="dxa"/>
            </w:tcMar>
            <w:vAlign w:val="center"/>
          </w:tcPr>
          <w:p w14:paraId="33F435A6">
            <w:pPr>
              <w:widowControl/>
              <w:adjustRightInd w:val="0"/>
              <w:snapToGrid w:val="0"/>
              <w:jc w:val="center"/>
              <w:textAlignment w:val="top"/>
              <w:rPr>
                <w:rStyle w:val="6"/>
                <w:rFonts w:ascii="宋体" w:hAnsi="宋体" w:eastAsia="宋体" w:cs="宋体"/>
                <w:kern w:val="0"/>
                <w:sz w:val="24"/>
              </w:rPr>
            </w:pPr>
          </w:p>
        </w:tc>
        <w:tc>
          <w:tcPr>
            <w:tcW w:w="1448" w:type="dxa"/>
            <w:tcBorders>
              <w:tl2br w:val="nil"/>
              <w:tr2bl w:val="nil"/>
            </w:tcBorders>
            <w:shd w:val="clear" w:color="auto" w:fill="auto"/>
            <w:tcMar>
              <w:top w:w="120" w:type="dxa"/>
              <w:left w:w="120" w:type="dxa"/>
              <w:bottom w:w="120" w:type="dxa"/>
              <w:right w:w="120" w:type="dxa"/>
            </w:tcMar>
            <w:vAlign w:val="center"/>
          </w:tcPr>
          <w:p w14:paraId="4425DF06">
            <w:pPr>
              <w:widowControl/>
              <w:adjustRightInd w:val="0"/>
              <w:snapToGrid w:val="0"/>
              <w:textAlignment w:val="top"/>
              <w:rPr>
                <w:rFonts w:ascii="宋体" w:hAnsi="宋体" w:eastAsia="宋体" w:cs="宋体"/>
                <w:kern w:val="0"/>
                <w:sz w:val="24"/>
              </w:rPr>
            </w:pPr>
            <w:r>
              <w:rPr>
                <w:rFonts w:hint="eastAsia" w:ascii="宋体" w:hAnsi="宋体" w:eastAsia="宋体" w:cs="宋体"/>
                <w:kern w:val="0"/>
                <w:sz w:val="24"/>
              </w:rPr>
              <w:t>0—6岁儿童孤独症筛查率</w:t>
            </w:r>
          </w:p>
        </w:tc>
        <w:tc>
          <w:tcPr>
            <w:tcW w:w="3408" w:type="dxa"/>
            <w:tcBorders>
              <w:tl2br w:val="nil"/>
              <w:tr2bl w:val="nil"/>
            </w:tcBorders>
            <w:shd w:val="clear" w:color="auto" w:fill="auto"/>
            <w:tcMar>
              <w:top w:w="120" w:type="dxa"/>
              <w:left w:w="120" w:type="dxa"/>
              <w:bottom w:w="120" w:type="dxa"/>
              <w:right w:w="120" w:type="dxa"/>
            </w:tcMar>
            <w:vAlign w:val="center"/>
          </w:tcPr>
          <w:p w14:paraId="09C470E8">
            <w:pPr>
              <w:widowControl/>
              <w:adjustRightInd w:val="0"/>
              <w:snapToGrid w:val="0"/>
              <w:jc w:val="center"/>
              <w:textAlignment w:val="top"/>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初筛率≥</w:t>
            </w:r>
            <w:r>
              <w:rPr>
                <w:rFonts w:hint="eastAsia" w:ascii="宋体" w:hAnsi="宋体" w:eastAsia="宋体" w:cs="宋体"/>
                <w:color w:val="000000" w:themeColor="text1"/>
                <w:kern w:val="0"/>
                <w:sz w:val="24"/>
                <w:lang w:val="en-US" w:eastAsia="zh-CN"/>
                <w14:textFill>
                  <w14:solidFill>
                    <w14:schemeClr w14:val="tx1"/>
                  </w14:solidFill>
                </w14:textFill>
              </w:rPr>
              <w:t>40</w:t>
            </w:r>
            <w:r>
              <w:rPr>
                <w:rFonts w:hint="eastAsia" w:ascii="宋体" w:hAnsi="宋体" w:eastAsia="宋体" w:cs="宋体"/>
                <w:color w:val="000000" w:themeColor="text1"/>
                <w:kern w:val="0"/>
                <w:sz w:val="24"/>
                <w14:textFill>
                  <w14:solidFill>
                    <w14:schemeClr w14:val="tx1"/>
                  </w14:solidFill>
                </w14:textFill>
              </w:rPr>
              <w:t>%，复筛率≥5</w:t>
            </w:r>
            <w:r>
              <w:rPr>
                <w:rFonts w:hint="eastAsia" w:ascii="宋体" w:hAnsi="宋体" w:eastAsia="宋体" w:cs="宋体"/>
                <w:color w:val="000000" w:themeColor="text1"/>
                <w:kern w:val="0"/>
                <w:sz w:val="24"/>
                <w:lang w:val="en-US" w:eastAsia="zh-CN"/>
                <w14:textFill>
                  <w14:solidFill>
                    <w14:schemeClr w14:val="tx1"/>
                  </w14:solidFill>
                </w14:textFill>
              </w:rPr>
              <w:t>0</w:t>
            </w:r>
            <w:r>
              <w:rPr>
                <w:rFonts w:hint="eastAsia" w:ascii="宋体" w:hAnsi="宋体" w:eastAsia="宋体" w:cs="宋体"/>
                <w:color w:val="000000" w:themeColor="text1"/>
                <w:kern w:val="0"/>
                <w:sz w:val="24"/>
                <w14:textFill>
                  <w14:solidFill>
                    <w14:schemeClr w14:val="tx1"/>
                  </w14:solidFill>
                </w14:textFill>
              </w:rPr>
              <w:t>%，诊断率≥50%</w:t>
            </w:r>
          </w:p>
        </w:tc>
        <w:tc>
          <w:tcPr>
            <w:tcW w:w="2428" w:type="dxa"/>
            <w:tcBorders>
              <w:tl2br w:val="nil"/>
              <w:tr2bl w:val="nil"/>
            </w:tcBorders>
            <w:shd w:val="clear" w:color="auto" w:fill="auto"/>
            <w:tcMar>
              <w:top w:w="120" w:type="dxa"/>
              <w:left w:w="120" w:type="dxa"/>
              <w:bottom w:w="120" w:type="dxa"/>
              <w:right w:w="120" w:type="dxa"/>
            </w:tcMar>
            <w:vAlign w:val="center"/>
          </w:tcPr>
          <w:p w14:paraId="705D39C2">
            <w:pPr>
              <w:widowControl/>
              <w:adjustRightInd w:val="0"/>
              <w:snapToGrid w:val="0"/>
              <w:jc w:val="center"/>
              <w:textAlignment w:val="top"/>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初筛率≥</w:t>
            </w:r>
            <w:r>
              <w:rPr>
                <w:rFonts w:hint="eastAsia" w:ascii="宋体" w:hAnsi="宋体" w:eastAsia="宋体" w:cs="宋体"/>
                <w:color w:val="000000" w:themeColor="text1"/>
                <w:kern w:val="0"/>
                <w:sz w:val="24"/>
                <w:lang w:val="en-US" w:eastAsia="zh-CN"/>
                <w14:textFill>
                  <w14:solidFill>
                    <w14:schemeClr w14:val="tx1"/>
                  </w14:solidFill>
                </w14:textFill>
              </w:rPr>
              <w:t>50</w:t>
            </w:r>
            <w:r>
              <w:rPr>
                <w:rFonts w:hint="eastAsia" w:ascii="宋体" w:hAnsi="宋体" w:eastAsia="宋体" w:cs="宋体"/>
                <w:color w:val="000000" w:themeColor="text1"/>
                <w:kern w:val="0"/>
                <w:sz w:val="24"/>
                <w14:textFill>
                  <w14:solidFill>
                    <w14:schemeClr w14:val="tx1"/>
                  </w14:solidFill>
                </w14:textFill>
              </w:rPr>
              <w:t>%，复筛率≥</w:t>
            </w:r>
            <w:r>
              <w:rPr>
                <w:rFonts w:hint="eastAsia" w:ascii="宋体" w:hAnsi="宋体" w:eastAsia="宋体" w:cs="宋体"/>
                <w:color w:val="000000" w:themeColor="text1"/>
                <w:kern w:val="0"/>
                <w:sz w:val="24"/>
                <w:lang w:val="en-US" w:eastAsia="zh-CN"/>
                <w14:textFill>
                  <w14:solidFill>
                    <w14:schemeClr w14:val="tx1"/>
                  </w14:solidFill>
                </w14:textFill>
              </w:rPr>
              <w:t>55</w:t>
            </w:r>
            <w:r>
              <w:rPr>
                <w:rFonts w:hint="eastAsia" w:ascii="宋体" w:hAnsi="宋体" w:eastAsia="宋体" w:cs="宋体"/>
                <w:color w:val="000000" w:themeColor="text1"/>
                <w:kern w:val="0"/>
                <w:sz w:val="24"/>
                <w14:textFill>
                  <w14:solidFill>
                    <w14:schemeClr w14:val="tx1"/>
                  </w14:solidFill>
                </w14:textFill>
              </w:rPr>
              <w:t>%，诊断率≥5</w:t>
            </w:r>
            <w:r>
              <w:rPr>
                <w:rFonts w:hint="eastAsia" w:ascii="宋体" w:hAnsi="宋体" w:eastAsia="宋体" w:cs="宋体"/>
                <w:color w:val="000000" w:themeColor="text1"/>
                <w:kern w:val="0"/>
                <w:sz w:val="24"/>
                <w:lang w:val="en-US" w:eastAsia="zh-CN"/>
                <w14:textFill>
                  <w14:solidFill>
                    <w14:schemeClr w14:val="tx1"/>
                  </w14:solidFill>
                </w14:textFill>
              </w:rPr>
              <w:t>0</w:t>
            </w:r>
            <w:r>
              <w:rPr>
                <w:rFonts w:hint="eastAsia" w:ascii="宋体" w:hAnsi="宋体" w:eastAsia="宋体" w:cs="宋体"/>
                <w:color w:val="000000" w:themeColor="text1"/>
                <w:kern w:val="0"/>
                <w:sz w:val="24"/>
                <w14:textFill>
                  <w14:solidFill>
                    <w14:schemeClr w14:val="tx1"/>
                  </w14:solidFill>
                </w14:textFill>
              </w:rPr>
              <w:t>%</w:t>
            </w:r>
          </w:p>
        </w:tc>
        <w:tc>
          <w:tcPr>
            <w:tcW w:w="2444" w:type="dxa"/>
            <w:tcBorders>
              <w:tl2br w:val="nil"/>
              <w:tr2bl w:val="nil"/>
            </w:tcBorders>
            <w:shd w:val="clear" w:color="auto" w:fill="auto"/>
            <w:tcMar>
              <w:top w:w="120" w:type="dxa"/>
              <w:left w:w="120" w:type="dxa"/>
              <w:bottom w:w="120" w:type="dxa"/>
              <w:right w:w="120" w:type="dxa"/>
            </w:tcMar>
            <w:vAlign w:val="center"/>
          </w:tcPr>
          <w:p w14:paraId="20DEF593">
            <w:pPr>
              <w:widowControl/>
              <w:adjustRightInd w:val="0"/>
              <w:snapToGrid w:val="0"/>
              <w:jc w:val="center"/>
              <w:textAlignment w:val="top"/>
              <w:rPr>
                <w:rFonts w:ascii="宋体" w:hAnsi="宋体" w:eastAsia="宋体" w:cs="宋体"/>
                <w:kern w:val="0"/>
                <w:sz w:val="24"/>
              </w:rPr>
            </w:pPr>
            <w:r>
              <w:rPr>
                <w:rFonts w:hint="eastAsia" w:ascii="宋体" w:hAnsi="宋体" w:eastAsia="宋体" w:cs="宋体"/>
                <w:kern w:val="0"/>
                <w:sz w:val="24"/>
              </w:rPr>
              <w:t>筛查工作</w:t>
            </w:r>
          </w:p>
          <w:p w14:paraId="540C548E">
            <w:pPr>
              <w:widowControl/>
              <w:adjustRightInd w:val="0"/>
              <w:snapToGrid w:val="0"/>
              <w:jc w:val="center"/>
              <w:textAlignment w:val="top"/>
              <w:rPr>
                <w:rFonts w:ascii="宋体" w:hAnsi="宋体" w:eastAsia="宋体" w:cs="宋体"/>
                <w:kern w:val="0"/>
                <w:sz w:val="24"/>
              </w:rPr>
            </w:pPr>
            <w:r>
              <w:rPr>
                <w:rFonts w:hint="eastAsia" w:ascii="宋体" w:hAnsi="宋体" w:eastAsia="宋体" w:cs="宋体"/>
                <w:kern w:val="0"/>
                <w:sz w:val="24"/>
              </w:rPr>
              <w:t>常态化开展</w:t>
            </w:r>
          </w:p>
        </w:tc>
        <w:tc>
          <w:tcPr>
            <w:tcW w:w="1485" w:type="dxa"/>
            <w:tcBorders>
              <w:tl2br w:val="nil"/>
              <w:tr2bl w:val="nil"/>
            </w:tcBorders>
            <w:shd w:val="clear" w:color="auto" w:fill="auto"/>
            <w:tcMar>
              <w:top w:w="120" w:type="dxa"/>
              <w:left w:w="120" w:type="dxa"/>
              <w:bottom w:w="120" w:type="dxa"/>
              <w:right w:w="120" w:type="dxa"/>
            </w:tcMar>
            <w:vAlign w:val="center"/>
          </w:tcPr>
          <w:p w14:paraId="38566939">
            <w:pPr>
              <w:widowControl/>
              <w:adjustRightInd w:val="0"/>
              <w:snapToGrid w:val="0"/>
              <w:jc w:val="center"/>
              <w:textAlignment w:val="top"/>
              <w:rPr>
                <w:rFonts w:ascii="宋体" w:hAnsi="宋体" w:eastAsia="宋体" w:cs="宋体"/>
                <w:kern w:val="0"/>
                <w:sz w:val="24"/>
              </w:rPr>
            </w:pPr>
            <w:r>
              <w:rPr>
                <w:rFonts w:hint="eastAsia" w:ascii="宋体" w:hAnsi="宋体" w:eastAsia="宋体" w:cs="宋体"/>
                <w:kern w:val="0"/>
                <w:sz w:val="24"/>
              </w:rPr>
              <w:t>各县（市、区）卫健部门</w:t>
            </w:r>
          </w:p>
        </w:tc>
        <w:tc>
          <w:tcPr>
            <w:tcW w:w="1951" w:type="dxa"/>
            <w:tcBorders>
              <w:tl2br w:val="nil"/>
              <w:tr2bl w:val="nil"/>
            </w:tcBorders>
            <w:shd w:val="clear" w:color="auto" w:fill="auto"/>
            <w:tcMar>
              <w:top w:w="120" w:type="dxa"/>
              <w:left w:w="120" w:type="dxa"/>
              <w:bottom w:w="120" w:type="dxa"/>
              <w:right w:w="120" w:type="dxa"/>
            </w:tcMar>
            <w:vAlign w:val="center"/>
          </w:tcPr>
          <w:p w14:paraId="6CD3520E">
            <w:pPr>
              <w:widowControl/>
              <w:adjustRightInd w:val="0"/>
              <w:snapToGrid w:val="0"/>
              <w:textAlignment w:val="top"/>
              <w:rPr>
                <w:rFonts w:ascii="宋体" w:hAnsi="宋体" w:eastAsia="宋体" w:cs="宋体"/>
                <w:kern w:val="0"/>
                <w:sz w:val="24"/>
              </w:rPr>
            </w:pPr>
            <w:r>
              <w:rPr>
                <w:rFonts w:hint="eastAsia" w:ascii="宋体" w:hAnsi="宋体" w:eastAsia="宋体" w:cs="宋体"/>
                <w:kern w:val="0"/>
                <w:sz w:val="24"/>
              </w:rPr>
              <w:t>统计报表，筛查台账</w:t>
            </w:r>
          </w:p>
        </w:tc>
      </w:tr>
      <w:tr w14:paraId="7AFF43C5">
        <w:tblPrEx>
          <w:tblLayout w:type="fixed"/>
        </w:tblPrEx>
        <w:trPr>
          <w:trHeight w:val="1302" w:hRule="atLeast"/>
          <w:jc w:val="center"/>
        </w:trPr>
        <w:tc>
          <w:tcPr>
            <w:tcW w:w="913" w:type="dxa"/>
            <w:vMerge w:val="continue"/>
            <w:tcBorders>
              <w:tl2br w:val="nil"/>
              <w:tr2bl w:val="nil"/>
            </w:tcBorders>
            <w:shd w:val="clear" w:color="auto" w:fill="auto"/>
            <w:tcMar>
              <w:top w:w="120" w:type="dxa"/>
              <w:left w:w="120" w:type="dxa"/>
              <w:bottom w:w="120" w:type="dxa"/>
              <w:right w:w="120" w:type="dxa"/>
            </w:tcMar>
            <w:vAlign w:val="center"/>
          </w:tcPr>
          <w:p w14:paraId="08625A13">
            <w:pPr>
              <w:widowControl/>
              <w:adjustRightInd w:val="0"/>
              <w:snapToGrid w:val="0"/>
              <w:jc w:val="center"/>
              <w:textAlignment w:val="top"/>
              <w:rPr>
                <w:rStyle w:val="6"/>
                <w:rFonts w:ascii="宋体" w:hAnsi="宋体" w:eastAsia="宋体" w:cs="宋体"/>
                <w:kern w:val="0"/>
                <w:sz w:val="24"/>
              </w:rPr>
            </w:pPr>
          </w:p>
        </w:tc>
        <w:tc>
          <w:tcPr>
            <w:tcW w:w="1448" w:type="dxa"/>
            <w:tcBorders>
              <w:tl2br w:val="nil"/>
              <w:tr2bl w:val="nil"/>
            </w:tcBorders>
            <w:shd w:val="clear" w:color="auto" w:fill="auto"/>
            <w:tcMar>
              <w:top w:w="120" w:type="dxa"/>
              <w:left w:w="120" w:type="dxa"/>
              <w:bottom w:w="120" w:type="dxa"/>
              <w:right w:w="120" w:type="dxa"/>
            </w:tcMar>
            <w:vAlign w:val="center"/>
          </w:tcPr>
          <w:p w14:paraId="0754E571">
            <w:pPr>
              <w:widowControl/>
              <w:adjustRightInd w:val="0"/>
              <w:snapToGrid w:val="0"/>
              <w:textAlignment w:val="top"/>
              <w:rPr>
                <w:rFonts w:ascii="宋体" w:hAnsi="宋体" w:eastAsia="宋体" w:cs="宋体"/>
                <w:kern w:val="0"/>
                <w:sz w:val="24"/>
              </w:rPr>
            </w:pPr>
            <w:r>
              <w:rPr>
                <w:rFonts w:hint="eastAsia" w:ascii="宋体" w:hAnsi="宋体" w:eastAsia="宋体" w:cs="宋体"/>
                <w:kern w:val="0"/>
                <w:sz w:val="24"/>
                <w:lang w:val="en-US" w:eastAsia="zh-CN"/>
              </w:rPr>
              <w:t>少年</w:t>
            </w:r>
            <w:r>
              <w:rPr>
                <w:rFonts w:hint="eastAsia" w:ascii="宋体" w:hAnsi="宋体" w:eastAsia="宋体" w:cs="宋体"/>
                <w:kern w:val="0"/>
                <w:sz w:val="24"/>
              </w:rPr>
              <w:t>儿童肥胖、近视、心理、骨骼、口腔健康等有效干预</w:t>
            </w:r>
          </w:p>
        </w:tc>
        <w:tc>
          <w:tcPr>
            <w:tcW w:w="3408" w:type="dxa"/>
            <w:tcBorders>
              <w:tl2br w:val="nil"/>
              <w:tr2bl w:val="nil"/>
            </w:tcBorders>
            <w:shd w:val="clear" w:color="auto" w:fill="auto"/>
            <w:tcMar>
              <w:top w:w="120" w:type="dxa"/>
              <w:left w:w="120" w:type="dxa"/>
              <w:bottom w:w="120" w:type="dxa"/>
              <w:right w:w="120" w:type="dxa"/>
            </w:tcMar>
            <w:vAlign w:val="center"/>
          </w:tcPr>
          <w:p w14:paraId="6508D57C">
            <w:pPr>
              <w:widowControl/>
              <w:adjustRightInd w:val="0"/>
              <w:snapToGrid w:val="0"/>
              <w:textAlignment w:val="top"/>
              <w:rPr>
                <w:rFonts w:ascii="宋体" w:hAnsi="宋体" w:eastAsia="宋体" w:cs="宋体"/>
                <w:kern w:val="0"/>
                <w:sz w:val="24"/>
              </w:rPr>
            </w:pPr>
            <w:r>
              <w:rPr>
                <w:rFonts w:hint="eastAsia" w:ascii="宋体" w:hAnsi="宋体" w:eastAsia="宋体" w:cs="宋体"/>
                <w:kern w:val="0"/>
                <w:sz w:val="24"/>
                <w:lang w:val="en-US" w:eastAsia="zh-CN"/>
              </w:rPr>
              <w:t>少年</w:t>
            </w:r>
            <w:r>
              <w:rPr>
                <w:rFonts w:hint="eastAsia" w:ascii="宋体" w:hAnsi="宋体" w:eastAsia="宋体" w:cs="宋体"/>
                <w:kern w:val="0"/>
                <w:sz w:val="24"/>
              </w:rPr>
              <w:t>儿童肥胖得到有效干预，屈光筛查率逐步提升；近视率逐年下降；0—6岁儿童心理行为发育监测比例逐年提高；中小学生脊柱弯曲异常筛查普遍开展；儿童患龋得到有效干预</w:t>
            </w:r>
          </w:p>
        </w:tc>
        <w:tc>
          <w:tcPr>
            <w:tcW w:w="2428" w:type="dxa"/>
            <w:tcBorders>
              <w:tl2br w:val="nil"/>
              <w:tr2bl w:val="nil"/>
            </w:tcBorders>
            <w:shd w:val="clear" w:color="auto" w:fill="auto"/>
            <w:tcMar>
              <w:top w:w="120" w:type="dxa"/>
              <w:left w:w="120" w:type="dxa"/>
              <w:bottom w:w="120" w:type="dxa"/>
              <w:right w:w="120" w:type="dxa"/>
            </w:tcMar>
            <w:vAlign w:val="center"/>
          </w:tcPr>
          <w:p w14:paraId="1BE620B6">
            <w:pPr>
              <w:widowControl/>
              <w:adjustRightInd w:val="0"/>
              <w:snapToGrid w:val="0"/>
              <w:jc w:val="center"/>
              <w:textAlignment w:val="top"/>
              <w:rPr>
                <w:rFonts w:ascii="宋体" w:hAnsi="宋体" w:eastAsia="宋体" w:cs="宋体"/>
                <w:kern w:val="0"/>
                <w:sz w:val="24"/>
              </w:rPr>
            </w:pPr>
            <w:r>
              <w:rPr>
                <w:rFonts w:hint="eastAsia" w:ascii="宋体" w:hAnsi="宋体" w:eastAsia="宋体" w:cs="宋体"/>
                <w:kern w:val="0"/>
                <w:sz w:val="24"/>
              </w:rPr>
              <w:t>继续巩固干预成果</w:t>
            </w:r>
          </w:p>
        </w:tc>
        <w:tc>
          <w:tcPr>
            <w:tcW w:w="2444" w:type="dxa"/>
            <w:tcBorders>
              <w:tl2br w:val="nil"/>
              <w:tr2bl w:val="nil"/>
            </w:tcBorders>
            <w:shd w:val="clear" w:color="auto" w:fill="auto"/>
            <w:tcMar>
              <w:top w:w="120" w:type="dxa"/>
              <w:left w:w="120" w:type="dxa"/>
              <w:bottom w:w="120" w:type="dxa"/>
              <w:right w:w="120" w:type="dxa"/>
            </w:tcMar>
            <w:vAlign w:val="center"/>
          </w:tcPr>
          <w:p w14:paraId="724E9B82">
            <w:pPr>
              <w:widowControl/>
              <w:adjustRightInd w:val="0"/>
              <w:snapToGrid w:val="0"/>
              <w:jc w:val="center"/>
              <w:textAlignment w:val="top"/>
              <w:rPr>
                <w:rFonts w:ascii="宋体" w:hAnsi="宋体" w:eastAsia="宋体" w:cs="宋体"/>
                <w:kern w:val="0"/>
                <w:sz w:val="24"/>
              </w:rPr>
            </w:pPr>
            <w:r>
              <w:rPr>
                <w:rFonts w:hint="eastAsia" w:ascii="宋体" w:hAnsi="宋体" w:eastAsia="宋体" w:cs="宋体"/>
                <w:kern w:val="0"/>
                <w:sz w:val="24"/>
              </w:rPr>
              <w:t>持续巩固干预成果</w:t>
            </w:r>
          </w:p>
        </w:tc>
        <w:tc>
          <w:tcPr>
            <w:tcW w:w="1485" w:type="dxa"/>
            <w:tcBorders>
              <w:tl2br w:val="nil"/>
              <w:tr2bl w:val="nil"/>
            </w:tcBorders>
            <w:shd w:val="clear" w:color="auto" w:fill="auto"/>
            <w:tcMar>
              <w:top w:w="120" w:type="dxa"/>
              <w:left w:w="120" w:type="dxa"/>
              <w:bottom w:w="120" w:type="dxa"/>
              <w:right w:w="120" w:type="dxa"/>
            </w:tcMar>
            <w:vAlign w:val="center"/>
          </w:tcPr>
          <w:p w14:paraId="7454218B">
            <w:pPr>
              <w:widowControl/>
              <w:adjustRightInd w:val="0"/>
              <w:snapToGrid w:val="0"/>
              <w:jc w:val="center"/>
              <w:textAlignment w:val="top"/>
              <w:rPr>
                <w:rFonts w:ascii="宋体" w:hAnsi="宋体" w:eastAsia="宋体" w:cs="宋体"/>
                <w:kern w:val="0"/>
                <w:sz w:val="24"/>
              </w:rPr>
            </w:pPr>
            <w:r>
              <w:rPr>
                <w:rFonts w:hint="eastAsia" w:ascii="宋体" w:hAnsi="宋体" w:eastAsia="宋体" w:cs="宋体"/>
                <w:kern w:val="0"/>
                <w:sz w:val="24"/>
              </w:rPr>
              <w:t>各县（市、区）卫健、教体部门</w:t>
            </w:r>
          </w:p>
        </w:tc>
        <w:tc>
          <w:tcPr>
            <w:tcW w:w="1951" w:type="dxa"/>
            <w:tcBorders>
              <w:tl2br w:val="nil"/>
              <w:tr2bl w:val="nil"/>
            </w:tcBorders>
            <w:shd w:val="clear" w:color="auto" w:fill="auto"/>
            <w:tcMar>
              <w:top w:w="120" w:type="dxa"/>
              <w:left w:w="120" w:type="dxa"/>
              <w:bottom w:w="120" w:type="dxa"/>
              <w:right w:w="120" w:type="dxa"/>
            </w:tcMar>
            <w:vAlign w:val="center"/>
          </w:tcPr>
          <w:p w14:paraId="31B88907">
            <w:pPr>
              <w:widowControl/>
              <w:adjustRightInd w:val="0"/>
              <w:snapToGrid w:val="0"/>
              <w:textAlignment w:val="top"/>
              <w:rPr>
                <w:rFonts w:ascii="宋体" w:hAnsi="宋体" w:eastAsia="宋体" w:cs="宋体"/>
                <w:kern w:val="0"/>
                <w:sz w:val="24"/>
              </w:rPr>
            </w:pPr>
            <w:r>
              <w:rPr>
                <w:rFonts w:hint="eastAsia" w:ascii="宋体" w:hAnsi="宋体" w:eastAsia="宋体" w:cs="宋体"/>
                <w:kern w:val="0"/>
                <w:sz w:val="24"/>
              </w:rPr>
              <w:t>卫健、教体部门相关统计数据平台</w:t>
            </w:r>
          </w:p>
        </w:tc>
      </w:tr>
      <w:tr w14:paraId="1DEF944A">
        <w:tblPrEx>
          <w:tblLayout w:type="fixed"/>
        </w:tblPrEx>
        <w:trPr>
          <w:trHeight w:val="1302" w:hRule="atLeast"/>
          <w:jc w:val="center"/>
        </w:trPr>
        <w:tc>
          <w:tcPr>
            <w:tcW w:w="913" w:type="dxa"/>
            <w:vMerge w:val="restart"/>
            <w:tcBorders>
              <w:tl2br w:val="nil"/>
              <w:tr2bl w:val="nil"/>
            </w:tcBorders>
            <w:shd w:val="clear" w:color="auto" w:fill="auto"/>
            <w:tcMar>
              <w:top w:w="120" w:type="dxa"/>
              <w:left w:w="120" w:type="dxa"/>
              <w:bottom w:w="120" w:type="dxa"/>
              <w:right w:w="120" w:type="dxa"/>
            </w:tcMar>
            <w:vAlign w:val="center"/>
          </w:tcPr>
          <w:p w14:paraId="05E8AE7F">
            <w:pPr>
              <w:widowControl/>
              <w:adjustRightInd w:val="0"/>
              <w:snapToGrid w:val="0"/>
              <w:jc w:val="center"/>
              <w:textAlignment w:val="top"/>
              <w:rPr>
                <w:rFonts w:ascii="宋体" w:hAnsi="宋体" w:eastAsia="宋体" w:cs="宋体"/>
                <w:sz w:val="24"/>
              </w:rPr>
            </w:pPr>
            <w:r>
              <w:rPr>
                <w:rStyle w:val="6"/>
                <w:rFonts w:hint="eastAsia" w:ascii="宋体" w:hAnsi="宋体" w:eastAsia="宋体" w:cs="宋体"/>
                <w:kern w:val="0"/>
                <w:sz w:val="24"/>
              </w:rPr>
              <w:t>二、营养守护行动</w:t>
            </w:r>
          </w:p>
        </w:tc>
        <w:tc>
          <w:tcPr>
            <w:tcW w:w="1448" w:type="dxa"/>
            <w:tcBorders>
              <w:tl2br w:val="nil"/>
              <w:tr2bl w:val="nil"/>
            </w:tcBorders>
            <w:shd w:val="clear" w:color="auto" w:fill="auto"/>
            <w:tcMar>
              <w:top w:w="120" w:type="dxa"/>
              <w:left w:w="120" w:type="dxa"/>
              <w:bottom w:w="120" w:type="dxa"/>
              <w:right w:w="120" w:type="dxa"/>
            </w:tcMar>
            <w:vAlign w:val="center"/>
          </w:tcPr>
          <w:p w14:paraId="08B58B11">
            <w:pPr>
              <w:widowControl/>
              <w:adjustRightInd w:val="0"/>
              <w:snapToGrid w:val="0"/>
              <w:textAlignment w:val="top"/>
              <w:rPr>
                <w:rFonts w:ascii="宋体" w:hAnsi="宋体" w:eastAsia="宋体" w:cs="宋体"/>
                <w:kern w:val="0"/>
                <w:sz w:val="24"/>
              </w:rPr>
            </w:pPr>
            <w:r>
              <w:rPr>
                <w:rFonts w:hint="eastAsia" w:ascii="宋体" w:hAnsi="宋体" w:eastAsia="宋体" w:cs="宋体"/>
                <w:kern w:val="0"/>
                <w:sz w:val="24"/>
              </w:rPr>
              <w:t>带量营养食谱公示覆盖率</w:t>
            </w:r>
          </w:p>
        </w:tc>
        <w:tc>
          <w:tcPr>
            <w:tcW w:w="3408" w:type="dxa"/>
            <w:tcBorders>
              <w:tl2br w:val="nil"/>
              <w:tr2bl w:val="nil"/>
            </w:tcBorders>
            <w:shd w:val="clear" w:color="auto" w:fill="auto"/>
            <w:tcMar>
              <w:top w:w="120" w:type="dxa"/>
              <w:left w:w="120" w:type="dxa"/>
              <w:bottom w:w="120" w:type="dxa"/>
              <w:right w:w="120" w:type="dxa"/>
            </w:tcMar>
            <w:vAlign w:val="center"/>
          </w:tcPr>
          <w:p w14:paraId="61BFFF1B">
            <w:pPr>
              <w:widowControl/>
              <w:adjustRightInd w:val="0"/>
              <w:snapToGrid w:val="0"/>
              <w:jc w:val="center"/>
              <w:textAlignment w:val="top"/>
              <w:rPr>
                <w:rFonts w:ascii="宋体" w:hAnsi="宋体" w:eastAsia="宋体" w:cs="宋体"/>
                <w:kern w:val="0"/>
                <w:sz w:val="24"/>
              </w:rPr>
            </w:pPr>
            <w:r>
              <w:rPr>
                <w:rFonts w:hint="eastAsia" w:ascii="宋体" w:hAnsi="宋体" w:eastAsia="宋体" w:cs="宋体"/>
                <w:kern w:val="0"/>
                <w:sz w:val="24"/>
              </w:rPr>
              <w:t>农村校、园公示覆盖率≥90%</w:t>
            </w:r>
          </w:p>
        </w:tc>
        <w:tc>
          <w:tcPr>
            <w:tcW w:w="2428" w:type="dxa"/>
            <w:tcBorders>
              <w:tl2br w:val="nil"/>
              <w:tr2bl w:val="nil"/>
            </w:tcBorders>
            <w:shd w:val="clear" w:color="auto" w:fill="auto"/>
            <w:tcMar>
              <w:top w:w="120" w:type="dxa"/>
              <w:left w:w="120" w:type="dxa"/>
              <w:bottom w:w="120" w:type="dxa"/>
              <w:right w:w="120" w:type="dxa"/>
            </w:tcMar>
            <w:vAlign w:val="center"/>
          </w:tcPr>
          <w:p w14:paraId="43D0DA8F">
            <w:pPr>
              <w:widowControl/>
              <w:adjustRightInd w:val="0"/>
              <w:snapToGrid w:val="0"/>
              <w:jc w:val="center"/>
              <w:textAlignment w:val="top"/>
              <w:rPr>
                <w:rFonts w:ascii="宋体" w:hAnsi="宋体" w:eastAsia="宋体" w:cs="宋体"/>
                <w:kern w:val="0"/>
                <w:sz w:val="24"/>
              </w:rPr>
            </w:pPr>
            <w:r>
              <w:rPr>
                <w:rFonts w:hint="eastAsia" w:ascii="宋体" w:hAnsi="宋体" w:eastAsia="宋体" w:cs="宋体"/>
                <w:kern w:val="0"/>
                <w:sz w:val="24"/>
              </w:rPr>
              <w:t>农村校、园100%公示</w:t>
            </w:r>
          </w:p>
        </w:tc>
        <w:tc>
          <w:tcPr>
            <w:tcW w:w="2444" w:type="dxa"/>
            <w:tcBorders>
              <w:tl2br w:val="nil"/>
              <w:tr2bl w:val="nil"/>
            </w:tcBorders>
            <w:shd w:val="clear" w:color="auto" w:fill="auto"/>
            <w:tcMar>
              <w:top w:w="120" w:type="dxa"/>
              <w:left w:w="120" w:type="dxa"/>
              <w:bottom w:w="120" w:type="dxa"/>
              <w:right w:w="120" w:type="dxa"/>
            </w:tcMar>
            <w:vAlign w:val="center"/>
          </w:tcPr>
          <w:p w14:paraId="2A0EDCC5">
            <w:pPr>
              <w:widowControl/>
              <w:adjustRightInd w:val="0"/>
              <w:snapToGrid w:val="0"/>
              <w:jc w:val="center"/>
              <w:textAlignment w:val="top"/>
              <w:rPr>
                <w:rFonts w:ascii="宋体" w:hAnsi="宋体" w:eastAsia="宋体" w:cs="宋体"/>
                <w:kern w:val="0"/>
                <w:sz w:val="24"/>
              </w:rPr>
            </w:pPr>
            <w:r>
              <w:rPr>
                <w:rFonts w:hint="eastAsia" w:ascii="宋体" w:hAnsi="宋体" w:eastAsia="宋体" w:cs="宋体"/>
                <w:kern w:val="0"/>
                <w:sz w:val="24"/>
              </w:rPr>
              <w:t>常态化刚性执行，零缺漏</w:t>
            </w:r>
          </w:p>
        </w:tc>
        <w:tc>
          <w:tcPr>
            <w:tcW w:w="1485" w:type="dxa"/>
            <w:tcBorders>
              <w:tl2br w:val="nil"/>
              <w:tr2bl w:val="nil"/>
            </w:tcBorders>
            <w:shd w:val="clear" w:color="auto" w:fill="auto"/>
            <w:tcMar>
              <w:top w:w="120" w:type="dxa"/>
              <w:left w:w="120" w:type="dxa"/>
              <w:bottom w:w="120" w:type="dxa"/>
              <w:right w:w="120" w:type="dxa"/>
            </w:tcMar>
            <w:vAlign w:val="center"/>
          </w:tcPr>
          <w:p w14:paraId="41D5A8D6">
            <w:pPr>
              <w:widowControl/>
              <w:adjustRightInd w:val="0"/>
              <w:snapToGrid w:val="0"/>
              <w:jc w:val="center"/>
              <w:textAlignment w:val="top"/>
              <w:rPr>
                <w:rFonts w:ascii="宋体" w:hAnsi="宋体" w:eastAsia="宋体" w:cs="宋体"/>
                <w:kern w:val="0"/>
                <w:sz w:val="24"/>
              </w:rPr>
            </w:pPr>
            <w:r>
              <w:rPr>
                <w:rFonts w:hint="eastAsia" w:ascii="宋体" w:hAnsi="宋体" w:eastAsia="宋体" w:cs="宋体"/>
                <w:kern w:val="0"/>
                <w:sz w:val="24"/>
              </w:rPr>
              <w:t>各校、园，教体部门、卫健</w:t>
            </w:r>
          </w:p>
        </w:tc>
        <w:tc>
          <w:tcPr>
            <w:tcW w:w="1951" w:type="dxa"/>
            <w:tcBorders>
              <w:tl2br w:val="nil"/>
              <w:tr2bl w:val="nil"/>
            </w:tcBorders>
            <w:shd w:val="clear" w:color="auto" w:fill="auto"/>
            <w:tcMar>
              <w:top w:w="120" w:type="dxa"/>
              <w:left w:w="120" w:type="dxa"/>
              <w:bottom w:w="120" w:type="dxa"/>
              <w:right w:w="120" w:type="dxa"/>
            </w:tcMar>
            <w:vAlign w:val="center"/>
          </w:tcPr>
          <w:p w14:paraId="39E90A66">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台账查阅、家长群截图抽查、现场核查</w:t>
            </w:r>
          </w:p>
        </w:tc>
      </w:tr>
      <w:tr w14:paraId="618D3C77">
        <w:tblPrEx>
          <w:tblLayout w:type="fixed"/>
        </w:tblPrEx>
        <w:trPr>
          <w:trHeight w:val="1221" w:hRule="atLeast"/>
          <w:jc w:val="center"/>
        </w:trPr>
        <w:tc>
          <w:tcPr>
            <w:tcW w:w="913" w:type="dxa"/>
            <w:vMerge w:val="continue"/>
            <w:tcBorders>
              <w:tl2br w:val="nil"/>
              <w:tr2bl w:val="nil"/>
            </w:tcBorders>
            <w:shd w:val="clear" w:color="auto" w:fill="auto"/>
            <w:tcMar>
              <w:top w:w="120" w:type="dxa"/>
              <w:left w:w="120" w:type="dxa"/>
              <w:bottom w:w="120" w:type="dxa"/>
              <w:right w:w="120" w:type="dxa"/>
            </w:tcMar>
            <w:vAlign w:val="center"/>
          </w:tcPr>
          <w:p w14:paraId="575E4B02">
            <w:pPr>
              <w:widowControl/>
              <w:adjustRightInd w:val="0"/>
              <w:snapToGrid w:val="0"/>
              <w:jc w:val="center"/>
              <w:rPr>
                <w:rFonts w:ascii="宋体" w:hAnsi="宋体" w:eastAsia="宋体" w:cs="宋体"/>
                <w:sz w:val="24"/>
              </w:rPr>
            </w:pPr>
          </w:p>
        </w:tc>
        <w:tc>
          <w:tcPr>
            <w:tcW w:w="1448" w:type="dxa"/>
            <w:tcBorders>
              <w:tl2br w:val="nil"/>
              <w:tr2bl w:val="nil"/>
            </w:tcBorders>
            <w:shd w:val="clear" w:color="auto" w:fill="auto"/>
            <w:tcMar>
              <w:top w:w="120" w:type="dxa"/>
              <w:left w:w="120" w:type="dxa"/>
              <w:bottom w:w="120" w:type="dxa"/>
              <w:right w:w="120" w:type="dxa"/>
            </w:tcMar>
            <w:vAlign w:val="center"/>
          </w:tcPr>
          <w:p w14:paraId="3225C9C3">
            <w:pPr>
              <w:widowControl/>
              <w:adjustRightInd w:val="0"/>
              <w:snapToGrid w:val="0"/>
              <w:textAlignment w:val="top"/>
              <w:rPr>
                <w:rFonts w:ascii="宋体" w:hAnsi="宋体" w:eastAsia="宋体" w:cs="宋体"/>
                <w:sz w:val="24"/>
              </w:rPr>
            </w:pPr>
            <w:r>
              <w:rPr>
                <w:rFonts w:hint="eastAsia" w:ascii="宋体" w:hAnsi="宋体" w:eastAsia="宋体" w:cs="宋体"/>
                <w:kern w:val="0"/>
                <w:sz w:val="24"/>
              </w:rPr>
              <w:t>食堂“互联网+明厨亮灶”建成率</w:t>
            </w:r>
          </w:p>
        </w:tc>
        <w:tc>
          <w:tcPr>
            <w:tcW w:w="3408" w:type="dxa"/>
            <w:tcBorders>
              <w:tl2br w:val="nil"/>
              <w:tr2bl w:val="nil"/>
            </w:tcBorders>
            <w:shd w:val="clear" w:color="auto" w:fill="auto"/>
            <w:tcMar>
              <w:top w:w="120" w:type="dxa"/>
              <w:left w:w="120" w:type="dxa"/>
              <w:bottom w:w="120" w:type="dxa"/>
              <w:right w:w="120" w:type="dxa"/>
            </w:tcMar>
            <w:vAlign w:val="center"/>
          </w:tcPr>
          <w:p w14:paraId="1EDECB1F">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农村中小学建成率≥85%，幼儿园≥75%</w:t>
            </w:r>
          </w:p>
        </w:tc>
        <w:tc>
          <w:tcPr>
            <w:tcW w:w="2428" w:type="dxa"/>
            <w:tcBorders>
              <w:tl2br w:val="nil"/>
              <w:tr2bl w:val="nil"/>
            </w:tcBorders>
            <w:shd w:val="clear" w:color="auto" w:fill="auto"/>
            <w:tcMar>
              <w:top w:w="120" w:type="dxa"/>
              <w:left w:w="120" w:type="dxa"/>
              <w:bottom w:w="120" w:type="dxa"/>
              <w:right w:w="120" w:type="dxa"/>
            </w:tcMar>
            <w:vAlign w:val="center"/>
          </w:tcPr>
          <w:p w14:paraId="6825788C">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农村校、园100%建成</w:t>
            </w:r>
          </w:p>
        </w:tc>
        <w:tc>
          <w:tcPr>
            <w:tcW w:w="2444" w:type="dxa"/>
            <w:tcBorders>
              <w:tl2br w:val="nil"/>
              <w:tr2bl w:val="nil"/>
            </w:tcBorders>
            <w:shd w:val="clear" w:color="auto" w:fill="auto"/>
            <w:tcMar>
              <w:top w:w="120" w:type="dxa"/>
              <w:left w:w="120" w:type="dxa"/>
              <w:bottom w:w="120" w:type="dxa"/>
              <w:right w:w="120" w:type="dxa"/>
            </w:tcMar>
            <w:vAlign w:val="center"/>
          </w:tcPr>
          <w:p w14:paraId="3FDE32EA">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设备常态化在线运行，故障率0%</w:t>
            </w:r>
          </w:p>
        </w:tc>
        <w:tc>
          <w:tcPr>
            <w:tcW w:w="1485" w:type="dxa"/>
            <w:tcBorders>
              <w:tl2br w:val="nil"/>
              <w:tr2bl w:val="nil"/>
            </w:tcBorders>
            <w:shd w:val="clear" w:color="auto" w:fill="auto"/>
            <w:tcMar>
              <w:top w:w="120" w:type="dxa"/>
              <w:left w:w="120" w:type="dxa"/>
              <w:bottom w:w="120" w:type="dxa"/>
              <w:right w:w="120" w:type="dxa"/>
            </w:tcMar>
            <w:vAlign w:val="center"/>
          </w:tcPr>
          <w:p w14:paraId="214480E9">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属地教体局、各校、园</w:t>
            </w:r>
          </w:p>
        </w:tc>
        <w:tc>
          <w:tcPr>
            <w:tcW w:w="1951" w:type="dxa"/>
            <w:tcBorders>
              <w:tl2br w:val="nil"/>
              <w:tr2bl w:val="nil"/>
            </w:tcBorders>
            <w:shd w:val="clear" w:color="auto" w:fill="auto"/>
            <w:tcMar>
              <w:top w:w="120" w:type="dxa"/>
              <w:left w:w="120" w:type="dxa"/>
              <w:bottom w:w="120" w:type="dxa"/>
              <w:right w:w="120" w:type="dxa"/>
            </w:tcMar>
            <w:vAlign w:val="center"/>
          </w:tcPr>
          <w:p w14:paraId="3441E4CF">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平台后台在线核验、现场巡检</w:t>
            </w:r>
          </w:p>
        </w:tc>
      </w:tr>
      <w:tr w14:paraId="2A9756ED">
        <w:tblPrEx>
          <w:tblLayout w:type="fixed"/>
        </w:tblPrEx>
        <w:trPr>
          <w:trHeight w:val="1642" w:hRule="atLeast"/>
          <w:jc w:val="center"/>
        </w:trPr>
        <w:tc>
          <w:tcPr>
            <w:tcW w:w="913" w:type="dxa"/>
            <w:vMerge w:val="continue"/>
            <w:tcBorders>
              <w:tl2br w:val="nil"/>
              <w:tr2bl w:val="nil"/>
            </w:tcBorders>
            <w:shd w:val="clear" w:color="auto" w:fill="auto"/>
            <w:tcMar>
              <w:top w:w="120" w:type="dxa"/>
              <w:left w:w="120" w:type="dxa"/>
              <w:bottom w:w="120" w:type="dxa"/>
              <w:right w:w="120" w:type="dxa"/>
            </w:tcMar>
            <w:vAlign w:val="center"/>
          </w:tcPr>
          <w:p w14:paraId="225D106A">
            <w:pPr>
              <w:widowControl/>
              <w:adjustRightInd w:val="0"/>
              <w:snapToGrid w:val="0"/>
              <w:jc w:val="center"/>
              <w:rPr>
                <w:rFonts w:ascii="宋体" w:hAnsi="宋体" w:eastAsia="宋体" w:cs="宋体"/>
                <w:sz w:val="24"/>
              </w:rPr>
            </w:pPr>
          </w:p>
        </w:tc>
        <w:tc>
          <w:tcPr>
            <w:tcW w:w="1448" w:type="dxa"/>
            <w:tcBorders>
              <w:tl2br w:val="nil"/>
              <w:tr2bl w:val="nil"/>
            </w:tcBorders>
            <w:shd w:val="clear" w:color="auto" w:fill="auto"/>
            <w:tcMar>
              <w:top w:w="120" w:type="dxa"/>
              <w:left w:w="120" w:type="dxa"/>
              <w:bottom w:w="120" w:type="dxa"/>
              <w:right w:w="120" w:type="dxa"/>
            </w:tcMar>
            <w:vAlign w:val="center"/>
          </w:tcPr>
          <w:p w14:paraId="380AC1B6">
            <w:pPr>
              <w:widowControl/>
              <w:adjustRightInd w:val="0"/>
              <w:snapToGrid w:val="0"/>
              <w:textAlignment w:val="top"/>
              <w:rPr>
                <w:rFonts w:ascii="宋体" w:hAnsi="宋体" w:eastAsia="宋体" w:cs="宋体"/>
                <w:sz w:val="24"/>
              </w:rPr>
            </w:pPr>
            <w:r>
              <w:rPr>
                <w:rFonts w:hint="eastAsia" w:ascii="宋体" w:hAnsi="宋体" w:eastAsia="宋体" w:cs="宋体"/>
                <w:kern w:val="0"/>
                <w:sz w:val="24"/>
              </w:rPr>
              <w:t>校领导陪餐、家长村民代表陪餐落实频次</w:t>
            </w:r>
          </w:p>
        </w:tc>
        <w:tc>
          <w:tcPr>
            <w:tcW w:w="3408" w:type="dxa"/>
            <w:tcBorders>
              <w:tl2br w:val="nil"/>
              <w:tr2bl w:val="nil"/>
            </w:tcBorders>
            <w:shd w:val="clear" w:color="auto" w:fill="auto"/>
            <w:tcMar>
              <w:top w:w="120" w:type="dxa"/>
              <w:left w:w="120" w:type="dxa"/>
              <w:bottom w:w="120" w:type="dxa"/>
              <w:right w:w="120" w:type="dxa"/>
            </w:tcMar>
            <w:vAlign w:val="center"/>
          </w:tcPr>
          <w:p w14:paraId="41565F98">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校领导每日陪餐全覆盖；每学期家长村民陪餐不少于4次，餐食满意度≥85%</w:t>
            </w:r>
          </w:p>
        </w:tc>
        <w:tc>
          <w:tcPr>
            <w:tcW w:w="2428" w:type="dxa"/>
            <w:tcBorders>
              <w:tl2br w:val="nil"/>
              <w:tr2bl w:val="nil"/>
            </w:tcBorders>
            <w:shd w:val="clear" w:color="auto" w:fill="auto"/>
            <w:tcMar>
              <w:top w:w="120" w:type="dxa"/>
              <w:left w:w="120" w:type="dxa"/>
              <w:bottom w:w="120" w:type="dxa"/>
              <w:right w:w="120" w:type="dxa"/>
            </w:tcMar>
            <w:vAlign w:val="center"/>
          </w:tcPr>
          <w:p w14:paraId="6768FF7C">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保持现有频次，建立陪餐问题闭环整改台账，餐食满意度≥90%</w:t>
            </w:r>
          </w:p>
        </w:tc>
        <w:tc>
          <w:tcPr>
            <w:tcW w:w="2444" w:type="dxa"/>
            <w:tcBorders>
              <w:tl2br w:val="nil"/>
              <w:tr2bl w:val="nil"/>
            </w:tcBorders>
            <w:shd w:val="clear" w:color="auto" w:fill="auto"/>
            <w:tcMar>
              <w:top w:w="120" w:type="dxa"/>
              <w:left w:w="120" w:type="dxa"/>
              <w:bottom w:w="120" w:type="dxa"/>
              <w:right w:w="120" w:type="dxa"/>
            </w:tcMar>
            <w:vAlign w:val="center"/>
          </w:tcPr>
          <w:p w14:paraId="52016233">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陪餐机制长效运行，餐食满意度≥95%</w:t>
            </w:r>
          </w:p>
        </w:tc>
        <w:tc>
          <w:tcPr>
            <w:tcW w:w="1485" w:type="dxa"/>
            <w:tcBorders>
              <w:tl2br w:val="nil"/>
              <w:tr2bl w:val="nil"/>
            </w:tcBorders>
            <w:shd w:val="clear" w:color="auto" w:fill="auto"/>
            <w:tcMar>
              <w:top w:w="120" w:type="dxa"/>
              <w:left w:w="120" w:type="dxa"/>
              <w:bottom w:w="120" w:type="dxa"/>
              <w:right w:w="120" w:type="dxa"/>
            </w:tcMar>
            <w:vAlign w:val="center"/>
          </w:tcPr>
          <w:p w14:paraId="70C21E6D">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各校、园膳食监督小组</w:t>
            </w:r>
          </w:p>
        </w:tc>
        <w:tc>
          <w:tcPr>
            <w:tcW w:w="1951" w:type="dxa"/>
            <w:tcBorders>
              <w:tl2br w:val="nil"/>
              <w:tr2bl w:val="nil"/>
            </w:tcBorders>
            <w:shd w:val="clear" w:color="auto" w:fill="auto"/>
            <w:tcMar>
              <w:top w:w="120" w:type="dxa"/>
              <w:left w:w="120" w:type="dxa"/>
              <w:bottom w:w="120" w:type="dxa"/>
              <w:right w:w="120" w:type="dxa"/>
            </w:tcMar>
            <w:vAlign w:val="center"/>
          </w:tcPr>
          <w:p w14:paraId="5CAD4FB7">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陪餐记录台账、满意度测评报表</w:t>
            </w:r>
          </w:p>
        </w:tc>
      </w:tr>
      <w:tr w14:paraId="18449C7B">
        <w:tblPrEx>
          <w:tblLayout w:type="fixed"/>
        </w:tblPrEx>
        <w:trPr>
          <w:trHeight w:val="1807" w:hRule="atLeast"/>
          <w:jc w:val="center"/>
        </w:trPr>
        <w:tc>
          <w:tcPr>
            <w:tcW w:w="913" w:type="dxa"/>
            <w:vMerge w:val="continue"/>
            <w:tcBorders>
              <w:tl2br w:val="nil"/>
              <w:tr2bl w:val="nil"/>
            </w:tcBorders>
            <w:shd w:val="clear" w:color="auto" w:fill="auto"/>
            <w:tcMar>
              <w:top w:w="120" w:type="dxa"/>
              <w:left w:w="120" w:type="dxa"/>
              <w:bottom w:w="120" w:type="dxa"/>
              <w:right w:w="120" w:type="dxa"/>
            </w:tcMar>
            <w:vAlign w:val="center"/>
          </w:tcPr>
          <w:p w14:paraId="6EC10EC6">
            <w:pPr>
              <w:widowControl/>
              <w:adjustRightInd w:val="0"/>
              <w:snapToGrid w:val="0"/>
              <w:jc w:val="center"/>
              <w:rPr>
                <w:rFonts w:ascii="宋体" w:hAnsi="宋体" w:eastAsia="宋体" w:cs="宋体"/>
                <w:sz w:val="24"/>
              </w:rPr>
            </w:pPr>
          </w:p>
        </w:tc>
        <w:tc>
          <w:tcPr>
            <w:tcW w:w="1448" w:type="dxa"/>
            <w:tcBorders>
              <w:tl2br w:val="nil"/>
              <w:tr2bl w:val="nil"/>
            </w:tcBorders>
            <w:shd w:val="clear" w:color="auto" w:fill="auto"/>
            <w:tcMar>
              <w:top w:w="120" w:type="dxa"/>
              <w:left w:w="120" w:type="dxa"/>
              <w:bottom w:w="120" w:type="dxa"/>
              <w:right w:w="120" w:type="dxa"/>
            </w:tcMar>
            <w:vAlign w:val="center"/>
          </w:tcPr>
          <w:p w14:paraId="2250B37A">
            <w:pPr>
              <w:widowControl/>
              <w:adjustRightInd w:val="0"/>
              <w:snapToGrid w:val="0"/>
              <w:textAlignment w:val="top"/>
              <w:rPr>
                <w:rFonts w:ascii="宋体" w:hAnsi="宋体" w:eastAsia="宋体" w:cs="宋体"/>
                <w:sz w:val="24"/>
              </w:rPr>
            </w:pPr>
            <w:r>
              <w:rPr>
                <w:rFonts w:hint="eastAsia" w:ascii="宋体" w:hAnsi="宋体" w:eastAsia="宋体" w:cs="宋体"/>
                <w:kern w:val="0"/>
                <w:sz w:val="24"/>
              </w:rPr>
              <w:t>校园营养健康专题课堂开展频次</w:t>
            </w:r>
          </w:p>
        </w:tc>
        <w:tc>
          <w:tcPr>
            <w:tcW w:w="3408" w:type="dxa"/>
            <w:tcBorders>
              <w:tl2br w:val="nil"/>
              <w:tr2bl w:val="nil"/>
            </w:tcBorders>
            <w:shd w:val="clear" w:color="auto" w:fill="auto"/>
            <w:tcMar>
              <w:top w:w="120" w:type="dxa"/>
              <w:left w:w="120" w:type="dxa"/>
              <w:bottom w:w="120" w:type="dxa"/>
              <w:right w:w="120" w:type="dxa"/>
            </w:tcMar>
            <w:vAlign w:val="center"/>
          </w:tcPr>
          <w:p w14:paraId="7AE1378E">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每学期不少于2场，全覆盖开设，家长营养知识知晓率≥80%</w:t>
            </w:r>
          </w:p>
        </w:tc>
        <w:tc>
          <w:tcPr>
            <w:tcW w:w="2428" w:type="dxa"/>
            <w:tcBorders>
              <w:tl2br w:val="nil"/>
              <w:tr2bl w:val="nil"/>
            </w:tcBorders>
            <w:shd w:val="clear" w:color="auto" w:fill="auto"/>
            <w:tcMar>
              <w:top w:w="120" w:type="dxa"/>
              <w:left w:w="120" w:type="dxa"/>
              <w:bottom w:w="120" w:type="dxa"/>
              <w:right w:w="120" w:type="dxa"/>
            </w:tcMar>
            <w:vAlign w:val="center"/>
          </w:tcPr>
          <w:p w14:paraId="75CDEFDF">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每学期不少于2场，新增居家膳食专项宣教1场，家长营养知识知晓率≥85%</w:t>
            </w:r>
          </w:p>
        </w:tc>
        <w:tc>
          <w:tcPr>
            <w:tcW w:w="2444" w:type="dxa"/>
            <w:tcBorders>
              <w:tl2br w:val="nil"/>
              <w:tr2bl w:val="nil"/>
            </w:tcBorders>
            <w:shd w:val="clear" w:color="auto" w:fill="auto"/>
            <w:tcMar>
              <w:top w:w="120" w:type="dxa"/>
              <w:left w:w="120" w:type="dxa"/>
              <w:bottom w:w="120" w:type="dxa"/>
              <w:right w:w="120" w:type="dxa"/>
            </w:tcMar>
            <w:vAlign w:val="center"/>
          </w:tcPr>
          <w:p w14:paraId="79D298FF">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分层分类开展宣教，家长营养知识知晓率≥90%</w:t>
            </w:r>
          </w:p>
        </w:tc>
        <w:tc>
          <w:tcPr>
            <w:tcW w:w="1485" w:type="dxa"/>
            <w:tcBorders>
              <w:tl2br w:val="nil"/>
              <w:tr2bl w:val="nil"/>
            </w:tcBorders>
            <w:shd w:val="clear" w:color="auto" w:fill="auto"/>
            <w:tcMar>
              <w:top w:w="120" w:type="dxa"/>
              <w:left w:w="120" w:type="dxa"/>
              <w:bottom w:w="120" w:type="dxa"/>
              <w:right w:w="120" w:type="dxa"/>
            </w:tcMar>
            <w:vAlign w:val="center"/>
          </w:tcPr>
          <w:p w14:paraId="0ED4109E">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农村各校、园</w:t>
            </w:r>
          </w:p>
        </w:tc>
        <w:tc>
          <w:tcPr>
            <w:tcW w:w="1951" w:type="dxa"/>
            <w:tcBorders>
              <w:tl2br w:val="nil"/>
              <w:tr2bl w:val="nil"/>
            </w:tcBorders>
            <w:shd w:val="clear" w:color="auto" w:fill="auto"/>
            <w:tcMar>
              <w:top w:w="120" w:type="dxa"/>
              <w:left w:w="120" w:type="dxa"/>
              <w:bottom w:w="120" w:type="dxa"/>
              <w:right w:w="120" w:type="dxa"/>
            </w:tcMar>
            <w:vAlign w:val="center"/>
          </w:tcPr>
          <w:p w14:paraId="7DDFB596">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活动方案、现场照片、签到表</w:t>
            </w:r>
          </w:p>
        </w:tc>
      </w:tr>
      <w:tr w14:paraId="0696626C">
        <w:tblPrEx>
          <w:tblLayout w:type="fixed"/>
        </w:tblPrEx>
        <w:trPr>
          <w:trHeight w:val="1553" w:hRule="atLeast"/>
          <w:jc w:val="center"/>
        </w:trPr>
        <w:tc>
          <w:tcPr>
            <w:tcW w:w="913" w:type="dxa"/>
            <w:vMerge w:val="restart"/>
            <w:tcBorders>
              <w:tl2br w:val="nil"/>
              <w:tr2bl w:val="nil"/>
            </w:tcBorders>
            <w:shd w:val="clear" w:color="auto" w:fill="auto"/>
            <w:tcMar>
              <w:top w:w="120" w:type="dxa"/>
              <w:left w:w="120" w:type="dxa"/>
              <w:bottom w:w="120" w:type="dxa"/>
              <w:right w:w="120" w:type="dxa"/>
            </w:tcMar>
            <w:vAlign w:val="center"/>
          </w:tcPr>
          <w:p w14:paraId="135D4BE6">
            <w:pPr>
              <w:widowControl/>
              <w:adjustRightInd w:val="0"/>
              <w:snapToGrid w:val="0"/>
              <w:jc w:val="center"/>
              <w:textAlignment w:val="top"/>
              <w:rPr>
                <w:rFonts w:ascii="宋体" w:hAnsi="宋体" w:eastAsia="宋体" w:cs="宋体"/>
                <w:sz w:val="24"/>
              </w:rPr>
            </w:pPr>
            <w:r>
              <w:rPr>
                <w:rStyle w:val="6"/>
                <w:rFonts w:hint="eastAsia" w:ascii="宋体" w:hAnsi="宋体" w:eastAsia="宋体" w:cs="宋体"/>
                <w:kern w:val="0"/>
                <w:sz w:val="24"/>
              </w:rPr>
              <w:t>三、健体强能行动</w:t>
            </w:r>
          </w:p>
        </w:tc>
        <w:tc>
          <w:tcPr>
            <w:tcW w:w="1448" w:type="dxa"/>
            <w:tcBorders>
              <w:tl2br w:val="nil"/>
              <w:tr2bl w:val="nil"/>
            </w:tcBorders>
            <w:shd w:val="clear" w:color="auto" w:fill="auto"/>
            <w:tcMar>
              <w:top w:w="120" w:type="dxa"/>
              <w:left w:w="120" w:type="dxa"/>
              <w:bottom w:w="120" w:type="dxa"/>
              <w:right w:w="120" w:type="dxa"/>
            </w:tcMar>
            <w:vAlign w:val="center"/>
          </w:tcPr>
          <w:p w14:paraId="39DF030F">
            <w:pPr>
              <w:widowControl/>
              <w:adjustRightInd w:val="0"/>
              <w:snapToGrid w:val="0"/>
              <w:textAlignment w:val="top"/>
              <w:rPr>
                <w:rFonts w:ascii="宋体" w:hAnsi="宋体" w:eastAsia="宋体" w:cs="宋体"/>
                <w:sz w:val="24"/>
              </w:rPr>
            </w:pPr>
            <w:r>
              <w:rPr>
                <w:rFonts w:hint="eastAsia" w:ascii="宋体" w:hAnsi="宋体" w:eastAsia="宋体" w:cs="宋体"/>
                <w:kern w:val="0"/>
                <w:sz w:val="24"/>
              </w:rPr>
              <w:t>体美劳课程规范开课率</w:t>
            </w:r>
          </w:p>
        </w:tc>
        <w:tc>
          <w:tcPr>
            <w:tcW w:w="3408" w:type="dxa"/>
            <w:tcBorders>
              <w:tl2br w:val="nil"/>
              <w:tr2bl w:val="nil"/>
            </w:tcBorders>
            <w:shd w:val="clear" w:color="auto" w:fill="auto"/>
            <w:tcMar>
              <w:top w:w="120" w:type="dxa"/>
              <w:left w:w="120" w:type="dxa"/>
              <w:bottom w:w="120" w:type="dxa"/>
              <w:right w:w="120" w:type="dxa"/>
            </w:tcMar>
            <w:vAlign w:val="center"/>
          </w:tcPr>
          <w:p w14:paraId="2F57AF98">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农村校、园100%开齐开足全部课程，零挤占</w:t>
            </w:r>
          </w:p>
        </w:tc>
        <w:tc>
          <w:tcPr>
            <w:tcW w:w="2428" w:type="dxa"/>
            <w:tcBorders>
              <w:tl2br w:val="nil"/>
              <w:tr2bl w:val="nil"/>
            </w:tcBorders>
            <w:shd w:val="clear" w:color="auto" w:fill="auto"/>
            <w:tcMar>
              <w:top w:w="120" w:type="dxa"/>
              <w:left w:w="120" w:type="dxa"/>
              <w:bottom w:w="120" w:type="dxa"/>
              <w:right w:w="120" w:type="dxa"/>
            </w:tcMar>
            <w:vAlign w:val="center"/>
          </w:tcPr>
          <w:p w14:paraId="108194C8">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课程执行常态化，纳入日常教学督查</w:t>
            </w:r>
          </w:p>
        </w:tc>
        <w:tc>
          <w:tcPr>
            <w:tcW w:w="2444" w:type="dxa"/>
            <w:tcBorders>
              <w:tl2br w:val="nil"/>
              <w:tr2bl w:val="nil"/>
            </w:tcBorders>
            <w:shd w:val="clear" w:color="auto" w:fill="auto"/>
            <w:tcMar>
              <w:top w:w="120" w:type="dxa"/>
              <w:left w:w="120" w:type="dxa"/>
              <w:bottom w:w="120" w:type="dxa"/>
              <w:right w:w="120" w:type="dxa"/>
            </w:tcMar>
            <w:vAlign w:val="center"/>
          </w:tcPr>
          <w:p w14:paraId="25E99A01">
            <w:pPr>
              <w:widowControl/>
              <w:adjustRightInd w:val="0"/>
              <w:snapToGrid w:val="0"/>
              <w:jc w:val="center"/>
              <w:textAlignment w:val="top"/>
              <w:rPr>
                <w:rFonts w:ascii="宋体" w:hAnsi="宋体" w:eastAsia="宋体" w:cs="宋体"/>
                <w:sz w:val="24"/>
              </w:rPr>
            </w:pPr>
            <w:r>
              <w:rPr>
                <w:rFonts w:hint="eastAsia" w:ascii="宋体" w:hAnsi="宋体" w:eastAsia="宋体" w:cs="宋体"/>
                <w:sz w:val="24"/>
              </w:rPr>
              <w:t>提升开课质量</w:t>
            </w:r>
          </w:p>
        </w:tc>
        <w:tc>
          <w:tcPr>
            <w:tcW w:w="1485" w:type="dxa"/>
            <w:tcBorders>
              <w:tl2br w:val="nil"/>
              <w:tr2bl w:val="nil"/>
            </w:tcBorders>
            <w:shd w:val="clear" w:color="auto" w:fill="auto"/>
            <w:tcMar>
              <w:top w:w="120" w:type="dxa"/>
              <w:left w:w="120" w:type="dxa"/>
              <w:bottom w:w="120" w:type="dxa"/>
              <w:right w:w="120" w:type="dxa"/>
            </w:tcMar>
            <w:vAlign w:val="center"/>
          </w:tcPr>
          <w:p w14:paraId="48018D4F">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县域教体局、各校教务处</w:t>
            </w:r>
          </w:p>
        </w:tc>
        <w:tc>
          <w:tcPr>
            <w:tcW w:w="1951" w:type="dxa"/>
            <w:tcBorders>
              <w:tl2br w:val="nil"/>
              <w:tr2bl w:val="nil"/>
            </w:tcBorders>
            <w:shd w:val="clear" w:color="auto" w:fill="auto"/>
            <w:tcMar>
              <w:top w:w="120" w:type="dxa"/>
              <w:left w:w="120" w:type="dxa"/>
              <w:bottom w:w="120" w:type="dxa"/>
              <w:right w:w="120" w:type="dxa"/>
            </w:tcMar>
            <w:vAlign w:val="center"/>
          </w:tcPr>
          <w:p w14:paraId="31EC296A">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课表核查、随堂听课、教学日志核验</w:t>
            </w:r>
          </w:p>
        </w:tc>
      </w:tr>
      <w:tr w14:paraId="1C01E75C">
        <w:tblPrEx>
          <w:tblLayout w:type="fixed"/>
        </w:tblPrEx>
        <w:trPr>
          <w:trHeight w:val="1465" w:hRule="atLeast"/>
          <w:jc w:val="center"/>
        </w:trPr>
        <w:tc>
          <w:tcPr>
            <w:tcW w:w="913" w:type="dxa"/>
            <w:vMerge w:val="continue"/>
            <w:tcBorders>
              <w:tl2br w:val="nil"/>
              <w:tr2bl w:val="nil"/>
            </w:tcBorders>
            <w:shd w:val="clear" w:color="auto" w:fill="auto"/>
            <w:tcMar>
              <w:top w:w="120" w:type="dxa"/>
              <w:left w:w="120" w:type="dxa"/>
              <w:bottom w:w="120" w:type="dxa"/>
              <w:right w:w="120" w:type="dxa"/>
            </w:tcMar>
            <w:vAlign w:val="center"/>
          </w:tcPr>
          <w:p w14:paraId="5912A6B2">
            <w:pPr>
              <w:widowControl/>
              <w:adjustRightInd w:val="0"/>
              <w:snapToGrid w:val="0"/>
              <w:jc w:val="center"/>
              <w:rPr>
                <w:rFonts w:ascii="宋体" w:hAnsi="宋体" w:eastAsia="宋体" w:cs="宋体"/>
                <w:sz w:val="24"/>
              </w:rPr>
            </w:pPr>
          </w:p>
        </w:tc>
        <w:tc>
          <w:tcPr>
            <w:tcW w:w="1448" w:type="dxa"/>
            <w:tcBorders>
              <w:tl2br w:val="nil"/>
              <w:tr2bl w:val="nil"/>
            </w:tcBorders>
            <w:shd w:val="clear" w:color="auto" w:fill="auto"/>
            <w:tcMar>
              <w:top w:w="120" w:type="dxa"/>
              <w:left w:w="120" w:type="dxa"/>
              <w:bottom w:w="120" w:type="dxa"/>
              <w:right w:w="120" w:type="dxa"/>
            </w:tcMar>
            <w:vAlign w:val="center"/>
          </w:tcPr>
          <w:p w14:paraId="5556A44C">
            <w:pPr>
              <w:widowControl/>
              <w:adjustRightInd w:val="0"/>
              <w:snapToGrid w:val="0"/>
              <w:textAlignment w:val="top"/>
              <w:rPr>
                <w:rFonts w:ascii="宋体" w:hAnsi="宋体" w:eastAsia="宋体" w:cs="宋体"/>
                <w:sz w:val="24"/>
              </w:rPr>
            </w:pPr>
            <w:r>
              <w:rPr>
                <w:rFonts w:hint="eastAsia" w:ascii="宋体" w:hAnsi="宋体" w:eastAsia="宋体" w:cs="宋体"/>
                <w:kern w:val="0"/>
                <w:sz w:val="24"/>
              </w:rPr>
              <w:t>义务教育阶段学生每日综合体育活动时长</w:t>
            </w:r>
          </w:p>
        </w:tc>
        <w:tc>
          <w:tcPr>
            <w:tcW w:w="3408" w:type="dxa"/>
            <w:tcBorders>
              <w:tl2br w:val="nil"/>
              <w:tr2bl w:val="nil"/>
            </w:tcBorders>
            <w:shd w:val="clear" w:color="auto" w:fill="auto"/>
            <w:tcMar>
              <w:top w:w="120" w:type="dxa"/>
              <w:left w:w="120" w:type="dxa"/>
              <w:bottom w:w="120" w:type="dxa"/>
              <w:right w:w="120" w:type="dxa"/>
            </w:tcMar>
            <w:vAlign w:val="center"/>
          </w:tcPr>
          <w:p w14:paraId="77F75039">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每日综合体育活动不少于2小时</w:t>
            </w:r>
          </w:p>
        </w:tc>
        <w:tc>
          <w:tcPr>
            <w:tcW w:w="2428" w:type="dxa"/>
            <w:tcBorders>
              <w:tl2br w:val="nil"/>
              <w:tr2bl w:val="nil"/>
            </w:tcBorders>
            <w:shd w:val="clear" w:color="auto" w:fill="auto"/>
            <w:tcMar>
              <w:top w:w="120" w:type="dxa"/>
              <w:left w:w="120" w:type="dxa"/>
              <w:bottom w:w="120" w:type="dxa"/>
              <w:right w:w="120" w:type="dxa"/>
            </w:tcMar>
            <w:vAlign w:val="center"/>
          </w:tcPr>
          <w:p w14:paraId="7CB7AF76">
            <w:pPr>
              <w:widowControl/>
              <w:adjustRightInd w:val="0"/>
              <w:snapToGrid w:val="0"/>
              <w:textAlignment w:val="top"/>
              <w:rPr>
                <w:rFonts w:ascii="宋体" w:hAnsi="宋体" w:eastAsia="宋体" w:cs="宋体"/>
                <w:sz w:val="24"/>
              </w:rPr>
            </w:pPr>
            <w:r>
              <w:rPr>
                <w:rFonts w:hint="eastAsia" w:ascii="宋体" w:hAnsi="宋体" w:eastAsia="宋体" w:cs="宋体"/>
                <w:kern w:val="0"/>
                <w:sz w:val="24"/>
              </w:rPr>
              <w:t>每日综合体育活动时长</w:t>
            </w:r>
            <w:r>
              <w:rPr>
                <w:rFonts w:hint="eastAsia" w:ascii="宋体" w:hAnsi="宋体" w:eastAsia="宋体" w:cs="宋体"/>
                <w:kern w:val="0"/>
                <w:sz w:val="24"/>
                <w:lang w:eastAsia="zh-CN"/>
              </w:rPr>
              <w:t>100%刚性</w:t>
            </w:r>
            <w:r>
              <w:rPr>
                <w:rFonts w:hint="eastAsia" w:ascii="宋体" w:hAnsi="宋体" w:eastAsia="宋体" w:cs="宋体"/>
                <w:kern w:val="0"/>
                <w:sz w:val="24"/>
              </w:rPr>
              <w:t>达标，大课间活动规范化运行</w:t>
            </w:r>
          </w:p>
        </w:tc>
        <w:tc>
          <w:tcPr>
            <w:tcW w:w="2444" w:type="dxa"/>
            <w:tcBorders>
              <w:tl2br w:val="nil"/>
              <w:tr2bl w:val="nil"/>
            </w:tcBorders>
            <w:shd w:val="clear" w:color="auto" w:fill="auto"/>
            <w:tcMar>
              <w:top w:w="120" w:type="dxa"/>
              <w:left w:w="120" w:type="dxa"/>
              <w:bottom w:w="120" w:type="dxa"/>
              <w:right w:w="120" w:type="dxa"/>
            </w:tcMar>
            <w:vAlign w:val="center"/>
          </w:tcPr>
          <w:p w14:paraId="22BADF9E">
            <w:pPr>
              <w:widowControl/>
              <w:adjustRightInd w:val="0"/>
              <w:snapToGrid w:val="0"/>
              <w:jc w:val="center"/>
              <w:textAlignment w:val="top"/>
              <w:rPr>
                <w:rFonts w:ascii="宋体" w:hAnsi="宋体" w:eastAsia="宋体" w:cs="宋体"/>
                <w:sz w:val="24"/>
              </w:rPr>
            </w:pPr>
            <w:r>
              <w:rPr>
                <w:rFonts w:hint="eastAsia" w:ascii="宋体" w:hAnsi="宋体" w:eastAsia="宋体" w:cs="宋体"/>
                <w:sz w:val="24"/>
              </w:rPr>
              <w:t>提升体育课、大课间质量</w:t>
            </w:r>
          </w:p>
        </w:tc>
        <w:tc>
          <w:tcPr>
            <w:tcW w:w="1485" w:type="dxa"/>
            <w:tcBorders>
              <w:tl2br w:val="nil"/>
              <w:tr2bl w:val="nil"/>
            </w:tcBorders>
            <w:shd w:val="clear" w:color="auto" w:fill="auto"/>
            <w:tcMar>
              <w:top w:w="120" w:type="dxa"/>
              <w:left w:w="120" w:type="dxa"/>
              <w:bottom w:w="120" w:type="dxa"/>
              <w:right w:w="120" w:type="dxa"/>
            </w:tcMar>
            <w:vAlign w:val="center"/>
          </w:tcPr>
          <w:p w14:paraId="322C8258">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全体农村中小学</w:t>
            </w:r>
          </w:p>
        </w:tc>
        <w:tc>
          <w:tcPr>
            <w:tcW w:w="1951" w:type="dxa"/>
            <w:tcBorders>
              <w:tl2br w:val="nil"/>
              <w:tr2bl w:val="nil"/>
            </w:tcBorders>
            <w:shd w:val="clear" w:color="auto" w:fill="auto"/>
            <w:tcMar>
              <w:top w:w="120" w:type="dxa"/>
              <w:left w:w="120" w:type="dxa"/>
              <w:bottom w:w="120" w:type="dxa"/>
              <w:right w:w="120" w:type="dxa"/>
            </w:tcMar>
            <w:vAlign w:val="center"/>
          </w:tcPr>
          <w:p w14:paraId="54E22F5E">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作息表核查、现场巡查、运动台账</w:t>
            </w:r>
          </w:p>
        </w:tc>
      </w:tr>
      <w:tr w14:paraId="537D0770">
        <w:tblPrEx>
          <w:tblLayout w:type="fixed"/>
        </w:tblPrEx>
        <w:trPr>
          <w:trHeight w:val="1591" w:hRule="atLeast"/>
          <w:jc w:val="center"/>
        </w:trPr>
        <w:tc>
          <w:tcPr>
            <w:tcW w:w="913" w:type="dxa"/>
            <w:vMerge w:val="continue"/>
            <w:tcBorders>
              <w:tl2br w:val="nil"/>
              <w:tr2bl w:val="nil"/>
            </w:tcBorders>
            <w:shd w:val="clear" w:color="auto" w:fill="auto"/>
            <w:tcMar>
              <w:top w:w="120" w:type="dxa"/>
              <w:left w:w="120" w:type="dxa"/>
              <w:bottom w:w="120" w:type="dxa"/>
              <w:right w:w="120" w:type="dxa"/>
            </w:tcMar>
            <w:vAlign w:val="center"/>
          </w:tcPr>
          <w:p w14:paraId="63375FD8">
            <w:pPr>
              <w:widowControl/>
              <w:adjustRightInd w:val="0"/>
              <w:snapToGrid w:val="0"/>
              <w:jc w:val="center"/>
              <w:rPr>
                <w:rFonts w:ascii="宋体" w:hAnsi="宋体" w:eastAsia="宋体" w:cs="宋体"/>
                <w:sz w:val="24"/>
              </w:rPr>
            </w:pPr>
          </w:p>
        </w:tc>
        <w:tc>
          <w:tcPr>
            <w:tcW w:w="1448" w:type="dxa"/>
            <w:tcBorders>
              <w:tl2br w:val="nil"/>
              <w:tr2bl w:val="nil"/>
            </w:tcBorders>
            <w:shd w:val="clear" w:color="auto" w:fill="auto"/>
            <w:tcMar>
              <w:top w:w="120" w:type="dxa"/>
              <w:left w:w="120" w:type="dxa"/>
              <w:bottom w:w="120" w:type="dxa"/>
              <w:right w:w="120" w:type="dxa"/>
            </w:tcMar>
            <w:vAlign w:val="center"/>
          </w:tcPr>
          <w:p w14:paraId="4F06F42E">
            <w:pPr>
              <w:widowControl/>
              <w:adjustRightInd w:val="0"/>
              <w:snapToGrid w:val="0"/>
              <w:textAlignment w:val="top"/>
              <w:rPr>
                <w:rFonts w:ascii="宋体" w:hAnsi="宋体" w:eastAsia="宋体" w:cs="宋体"/>
                <w:sz w:val="24"/>
              </w:rPr>
            </w:pPr>
            <w:r>
              <w:rPr>
                <w:rFonts w:hint="eastAsia" w:ascii="宋体" w:hAnsi="宋体" w:eastAsia="宋体" w:cs="宋体"/>
                <w:kern w:val="0"/>
                <w:sz w:val="24"/>
              </w:rPr>
              <w:t>乡土特色体育项目一校一品覆盖率</w:t>
            </w:r>
          </w:p>
        </w:tc>
        <w:tc>
          <w:tcPr>
            <w:tcW w:w="3408" w:type="dxa"/>
            <w:tcBorders>
              <w:tl2br w:val="nil"/>
              <w:tr2bl w:val="nil"/>
            </w:tcBorders>
            <w:shd w:val="clear" w:color="auto" w:fill="auto"/>
            <w:tcMar>
              <w:top w:w="120" w:type="dxa"/>
              <w:left w:w="120" w:type="dxa"/>
              <w:bottom w:w="120" w:type="dxa"/>
              <w:right w:w="120" w:type="dxa"/>
            </w:tcMar>
            <w:vAlign w:val="center"/>
          </w:tcPr>
          <w:p w14:paraId="17490664">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覆盖率≥70%</w:t>
            </w:r>
          </w:p>
        </w:tc>
        <w:tc>
          <w:tcPr>
            <w:tcW w:w="2428" w:type="dxa"/>
            <w:tcBorders>
              <w:tl2br w:val="nil"/>
              <w:tr2bl w:val="nil"/>
            </w:tcBorders>
            <w:shd w:val="clear" w:color="auto" w:fill="auto"/>
            <w:tcMar>
              <w:top w:w="120" w:type="dxa"/>
              <w:left w:w="120" w:type="dxa"/>
              <w:bottom w:w="120" w:type="dxa"/>
              <w:right w:w="120" w:type="dxa"/>
            </w:tcMar>
            <w:vAlign w:val="center"/>
          </w:tcPr>
          <w:p w14:paraId="771AF580">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农村学校100%实现一校一品</w:t>
            </w:r>
          </w:p>
        </w:tc>
        <w:tc>
          <w:tcPr>
            <w:tcW w:w="2444" w:type="dxa"/>
            <w:tcBorders>
              <w:tl2br w:val="nil"/>
              <w:tr2bl w:val="nil"/>
            </w:tcBorders>
            <w:shd w:val="clear" w:color="auto" w:fill="auto"/>
            <w:tcMar>
              <w:top w:w="120" w:type="dxa"/>
              <w:left w:w="120" w:type="dxa"/>
              <w:bottom w:w="120" w:type="dxa"/>
              <w:right w:w="120" w:type="dxa"/>
            </w:tcMar>
            <w:vAlign w:val="center"/>
          </w:tcPr>
          <w:p w14:paraId="49476BAB">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每年迭代优化特色运动项目，常态化开展赛事</w:t>
            </w:r>
          </w:p>
        </w:tc>
        <w:tc>
          <w:tcPr>
            <w:tcW w:w="1485" w:type="dxa"/>
            <w:tcBorders>
              <w:tl2br w:val="nil"/>
              <w:tr2bl w:val="nil"/>
            </w:tcBorders>
            <w:shd w:val="clear" w:color="auto" w:fill="auto"/>
            <w:tcMar>
              <w:top w:w="120" w:type="dxa"/>
              <w:left w:w="120" w:type="dxa"/>
              <w:bottom w:w="120" w:type="dxa"/>
              <w:right w:w="120" w:type="dxa"/>
            </w:tcMar>
            <w:vAlign w:val="center"/>
          </w:tcPr>
          <w:p w14:paraId="2F5690EE">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县域教体局、各农村学校</w:t>
            </w:r>
          </w:p>
        </w:tc>
        <w:tc>
          <w:tcPr>
            <w:tcW w:w="1951" w:type="dxa"/>
            <w:tcBorders>
              <w:tl2br w:val="nil"/>
              <w:tr2bl w:val="nil"/>
            </w:tcBorders>
            <w:shd w:val="clear" w:color="auto" w:fill="auto"/>
            <w:tcMar>
              <w:top w:w="120" w:type="dxa"/>
              <w:left w:w="120" w:type="dxa"/>
              <w:bottom w:w="120" w:type="dxa"/>
              <w:right w:w="120" w:type="dxa"/>
            </w:tcMar>
            <w:vAlign w:val="center"/>
          </w:tcPr>
          <w:p w14:paraId="1DB2D1BE">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项目方案、运动会资料、现场展示</w:t>
            </w:r>
          </w:p>
        </w:tc>
      </w:tr>
      <w:tr w14:paraId="4F40DD59">
        <w:tblPrEx>
          <w:tblLayout w:type="fixed"/>
        </w:tblPrEx>
        <w:trPr>
          <w:trHeight w:val="1221" w:hRule="atLeast"/>
          <w:jc w:val="center"/>
        </w:trPr>
        <w:tc>
          <w:tcPr>
            <w:tcW w:w="913" w:type="dxa"/>
            <w:vMerge w:val="continue"/>
            <w:tcBorders>
              <w:tl2br w:val="nil"/>
              <w:tr2bl w:val="nil"/>
            </w:tcBorders>
            <w:shd w:val="clear" w:color="auto" w:fill="auto"/>
            <w:tcMar>
              <w:top w:w="120" w:type="dxa"/>
              <w:left w:w="120" w:type="dxa"/>
              <w:bottom w:w="120" w:type="dxa"/>
              <w:right w:w="120" w:type="dxa"/>
            </w:tcMar>
            <w:vAlign w:val="center"/>
          </w:tcPr>
          <w:p w14:paraId="00A7067D">
            <w:pPr>
              <w:widowControl/>
              <w:adjustRightInd w:val="0"/>
              <w:snapToGrid w:val="0"/>
              <w:jc w:val="center"/>
              <w:rPr>
                <w:rFonts w:ascii="宋体" w:hAnsi="宋体" w:eastAsia="宋体" w:cs="宋体"/>
                <w:sz w:val="24"/>
              </w:rPr>
            </w:pPr>
          </w:p>
        </w:tc>
        <w:tc>
          <w:tcPr>
            <w:tcW w:w="1448" w:type="dxa"/>
            <w:tcBorders>
              <w:tl2br w:val="nil"/>
              <w:tr2bl w:val="nil"/>
            </w:tcBorders>
            <w:shd w:val="clear" w:color="auto" w:fill="auto"/>
            <w:tcMar>
              <w:top w:w="120" w:type="dxa"/>
              <w:left w:w="120" w:type="dxa"/>
              <w:bottom w:w="120" w:type="dxa"/>
              <w:right w:w="120" w:type="dxa"/>
            </w:tcMar>
            <w:vAlign w:val="center"/>
          </w:tcPr>
          <w:p w14:paraId="6323FB58">
            <w:pPr>
              <w:widowControl/>
              <w:adjustRightInd w:val="0"/>
              <w:snapToGrid w:val="0"/>
              <w:textAlignment w:val="top"/>
              <w:rPr>
                <w:rFonts w:ascii="宋体" w:hAnsi="宋体" w:eastAsia="宋体" w:cs="宋体"/>
                <w:sz w:val="24"/>
              </w:rPr>
            </w:pPr>
            <w:r>
              <w:rPr>
                <w:rFonts w:hint="eastAsia" w:ascii="宋体" w:hAnsi="宋体" w:eastAsia="宋体" w:cs="宋体"/>
                <w:kern w:val="0"/>
                <w:sz w:val="24"/>
              </w:rPr>
              <w:t>学生体质健康测试优良率</w:t>
            </w:r>
          </w:p>
        </w:tc>
        <w:tc>
          <w:tcPr>
            <w:tcW w:w="3408" w:type="dxa"/>
            <w:tcBorders>
              <w:tl2br w:val="nil"/>
              <w:tr2bl w:val="nil"/>
            </w:tcBorders>
            <w:shd w:val="clear" w:color="auto" w:fill="auto"/>
            <w:tcMar>
              <w:top w:w="120" w:type="dxa"/>
              <w:left w:w="120" w:type="dxa"/>
              <w:bottom w:w="120" w:type="dxa"/>
              <w:right w:w="120" w:type="dxa"/>
            </w:tcMar>
            <w:vAlign w:val="center"/>
          </w:tcPr>
          <w:p w14:paraId="30189416">
            <w:pPr>
              <w:widowControl/>
              <w:adjustRightInd w:val="0"/>
              <w:snapToGrid w:val="0"/>
              <w:jc w:val="center"/>
              <w:textAlignment w:val="top"/>
              <w:rPr>
                <w:rFonts w:ascii="宋体" w:hAnsi="宋体" w:eastAsia="宋体" w:cs="宋体"/>
                <w:kern w:val="0"/>
                <w:sz w:val="24"/>
              </w:rPr>
            </w:pPr>
            <w:r>
              <w:rPr>
                <w:rFonts w:hint="eastAsia" w:ascii="宋体" w:hAnsi="宋体" w:eastAsia="宋体" w:cs="宋体"/>
                <w:kern w:val="0"/>
                <w:sz w:val="24"/>
              </w:rPr>
              <w:t>优良率≥55%</w:t>
            </w:r>
          </w:p>
        </w:tc>
        <w:tc>
          <w:tcPr>
            <w:tcW w:w="2428" w:type="dxa"/>
            <w:tcBorders>
              <w:tl2br w:val="nil"/>
              <w:tr2bl w:val="nil"/>
            </w:tcBorders>
            <w:shd w:val="clear" w:color="auto" w:fill="auto"/>
            <w:tcMar>
              <w:top w:w="120" w:type="dxa"/>
              <w:left w:w="120" w:type="dxa"/>
              <w:bottom w:w="120" w:type="dxa"/>
              <w:right w:w="120" w:type="dxa"/>
            </w:tcMar>
            <w:vAlign w:val="center"/>
          </w:tcPr>
          <w:p w14:paraId="36F72118">
            <w:pPr>
              <w:widowControl/>
              <w:adjustRightInd w:val="0"/>
              <w:snapToGrid w:val="0"/>
              <w:jc w:val="center"/>
              <w:textAlignment w:val="top"/>
              <w:rPr>
                <w:rFonts w:ascii="宋体" w:hAnsi="宋体" w:eastAsia="宋体" w:cs="宋体"/>
                <w:kern w:val="0"/>
                <w:sz w:val="24"/>
              </w:rPr>
            </w:pPr>
            <w:r>
              <w:rPr>
                <w:rFonts w:hint="eastAsia" w:ascii="宋体" w:hAnsi="宋体" w:eastAsia="宋体" w:cs="宋体"/>
                <w:kern w:val="0"/>
                <w:sz w:val="24"/>
              </w:rPr>
              <w:t>优良率≥60%</w:t>
            </w:r>
          </w:p>
        </w:tc>
        <w:tc>
          <w:tcPr>
            <w:tcW w:w="2444" w:type="dxa"/>
            <w:tcBorders>
              <w:tl2br w:val="nil"/>
              <w:tr2bl w:val="nil"/>
            </w:tcBorders>
            <w:shd w:val="clear" w:color="auto" w:fill="auto"/>
            <w:tcMar>
              <w:top w:w="120" w:type="dxa"/>
              <w:left w:w="120" w:type="dxa"/>
              <w:bottom w:w="120" w:type="dxa"/>
              <w:right w:w="120" w:type="dxa"/>
            </w:tcMar>
            <w:vAlign w:val="center"/>
          </w:tcPr>
          <w:p w14:paraId="78696EC8">
            <w:pPr>
              <w:widowControl/>
              <w:adjustRightInd w:val="0"/>
              <w:snapToGrid w:val="0"/>
              <w:jc w:val="center"/>
              <w:textAlignment w:val="top"/>
              <w:rPr>
                <w:rFonts w:ascii="宋体" w:hAnsi="宋体" w:eastAsia="宋体" w:cs="宋体"/>
                <w:kern w:val="0"/>
                <w:sz w:val="24"/>
              </w:rPr>
            </w:pPr>
            <w:r>
              <w:rPr>
                <w:rFonts w:hint="eastAsia" w:ascii="宋体" w:hAnsi="宋体" w:eastAsia="宋体" w:cs="宋体"/>
                <w:kern w:val="0"/>
                <w:sz w:val="24"/>
              </w:rPr>
              <w:t>优良率从60%逐年提升</w:t>
            </w:r>
          </w:p>
        </w:tc>
        <w:tc>
          <w:tcPr>
            <w:tcW w:w="1485" w:type="dxa"/>
            <w:tcBorders>
              <w:tl2br w:val="nil"/>
              <w:tr2bl w:val="nil"/>
            </w:tcBorders>
            <w:shd w:val="clear" w:color="auto" w:fill="auto"/>
            <w:tcMar>
              <w:top w:w="120" w:type="dxa"/>
              <w:left w:w="120" w:type="dxa"/>
              <w:bottom w:w="120" w:type="dxa"/>
              <w:right w:w="120" w:type="dxa"/>
            </w:tcMar>
            <w:vAlign w:val="center"/>
          </w:tcPr>
          <w:p w14:paraId="6A2FBC21">
            <w:pPr>
              <w:widowControl/>
              <w:adjustRightInd w:val="0"/>
              <w:snapToGrid w:val="0"/>
              <w:jc w:val="center"/>
              <w:textAlignment w:val="top"/>
              <w:rPr>
                <w:rFonts w:ascii="宋体" w:hAnsi="宋体" w:eastAsia="宋体" w:cs="宋体"/>
                <w:kern w:val="0"/>
                <w:sz w:val="24"/>
              </w:rPr>
            </w:pPr>
            <w:r>
              <w:rPr>
                <w:rFonts w:hint="eastAsia" w:ascii="宋体" w:hAnsi="宋体" w:eastAsia="宋体" w:cs="宋体"/>
                <w:kern w:val="0"/>
                <w:sz w:val="24"/>
              </w:rPr>
              <w:t>各校、教体部门</w:t>
            </w:r>
          </w:p>
        </w:tc>
        <w:tc>
          <w:tcPr>
            <w:tcW w:w="1951" w:type="dxa"/>
            <w:tcBorders>
              <w:tl2br w:val="nil"/>
              <w:tr2bl w:val="nil"/>
            </w:tcBorders>
            <w:shd w:val="clear" w:color="auto" w:fill="auto"/>
            <w:tcMar>
              <w:top w:w="120" w:type="dxa"/>
              <w:left w:w="120" w:type="dxa"/>
              <w:bottom w:w="120" w:type="dxa"/>
              <w:right w:w="120" w:type="dxa"/>
            </w:tcMar>
            <w:vAlign w:val="center"/>
          </w:tcPr>
          <w:p w14:paraId="0E8332EB">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国家体质健康平台数据核验</w:t>
            </w:r>
          </w:p>
        </w:tc>
      </w:tr>
      <w:tr w14:paraId="0ACD9990">
        <w:tblPrEx>
          <w:tblLayout w:type="fixed"/>
        </w:tblPrEx>
        <w:trPr>
          <w:trHeight w:val="1654" w:hRule="atLeast"/>
          <w:jc w:val="center"/>
        </w:trPr>
        <w:tc>
          <w:tcPr>
            <w:tcW w:w="913" w:type="dxa"/>
            <w:vMerge w:val="restart"/>
            <w:tcBorders>
              <w:tl2br w:val="nil"/>
              <w:tr2bl w:val="nil"/>
            </w:tcBorders>
            <w:shd w:val="clear" w:color="auto" w:fill="auto"/>
            <w:tcMar>
              <w:top w:w="120" w:type="dxa"/>
              <w:left w:w="120" w:type="dxa"/>
              <w:bottom w:w="120" w:type="dxa"/>
              <w:right w:w="120" w:type="dxa"/>
            </w:tcMar>
            <w:vAlign w:val="center"/>
          </w:tcPr>
          <w:p w14:paraId="6D1EF9EA">
            <w:pPr>
              <w:widowControl/>
              <w:adjustRightInd w:val="0"/>
              <w:snapToGrid w:val="0"/>
              <w:jc w:val="center"/>
              <w:textAlignment w:val="top"/>
              <w:rPr>
                <w:rFonts w:ascii="宋体" w:hAnsi="宋体" w:eastAsia="宋体" w:cs="宋体"/>
                <w:sz w:val="24"/>
              </w:rPr>
            </w:pPr>
            <w:r>
              <w:rPr>
                <w:rStyle w:val="6"/>
                <w:rFonts w:hint="eastAsia" w:ascii="宋体" w:hAnsi="宋体" w:eastAsia="宋体" w:cs="宋体"/>
                <w:kern w:val="0"/>
                <w:sz w:val="24"/>
              </w:rPr>
              <w:t>四、明眸护眼行动</w:t>
            </w:r>
          </w:p>
        </w:tc>
        <w:tc>
          <w:tcPr>
            <w:tcW w:w="1448" w:type="dxa"/>
            <w:tcBorders>
              <w:tl2br w:val="nil"/>
              <w:tr2bl w:val="nil"/>
            </w:tcBorders>
            <w:shd w:val="clear" w:color="auto" w:fill="auto"/>
            <w:tcMar>
              <w:top w:w="120" w:type="dxa"/>
              <w:left w:w="120" w:type="dxa"/>
              <w:bottom w:w="120" w:type="dxa"/>
              <w:right w:w="120" w:type="dxa"/>
            </w:tcMar>
            <w:vAlign w:val="center"/>
          </w:tcPr>
          <w:p w14:paraId="39819041">
            <w:pPr>
              <w:widowControl/>
              <w:adjustRightInd w:val="0"/>
              <w:snapToGrid w:val="0"/>
              <w:jc w:val="left"/>
              <w:textAlignment w:val="top"/>
              <w:rPr>
                <w:rFonts w:ascii="宋体" w:hAnsi="宋体" w:eastAsia="宋体" w:cs="宋体"/>
                <w:sz w:val="24"/>
              </w:rPr>
            </w:pPr>
            <w:r>
              <w:rPr>
                <w:rFonts w:hint="eastAsia" w:ascii="宋体" w:hAnsi="宋体" w:eastAsia="宋体" w:cs="宋体"/>
                <w:kern w:val="0"/>
                <w:sz w:val="24"/>
              </w:rPr>
              <w:t>每学期全覆盖视力筛查频次及建档率</w:t>
            </w:r>
          </w:p>
        </w:tc>
        <w:tc>
          <w:tcPr>
            <w:tcW w:w="3408" w:type="dxa"/>
            <w:tcBorders>
              <w:tl2br w:val="nil"/>
              <w:tr2bl w:val="nil"/>
            </w:tcBorders>
            <w:shd w:val="clear" w:color="auto" w:fill="auto"/>
            <w:tcMar>
              <w:top w:w="120" w:type="dxa"/>
              <w:left w:w="120" w:type="dxa"/>
              <w:bottom w:w="120" w:type="dxa"/>
              <w:right w:w="120" w:type="dxa"/>
            </w:tcMar>
            <w:vAlign w:val="center"/>
          </w:tcPr>
          <w:p w14:paraId="2F674193">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每学期2次筛查，视力健康档案建档率≥95%</w:t>
            </w:r>
          </w:p>
        </w:tc>
        <w:tc>
          <w:tcPr>
            <w:tcW w:w="2428" w:type="dxa"/>
            <w:tcBorders>
              <w:tl2br w:val="nil"/>
              <w:tr2bl w:val="nil"/>
            </w:tcBorders>
            <w:shd w:val="clear" w:color="auto" w:fill="auto"/>
            <w:tcMar>
              <w:top w:w="120" w:type="dxa"/>
              <w:left w:w="120" w:type="dxa"/>
              <w:bottom w:w="120" w:type="dxa"/>
              <w:right w:w="120" w:type="dxa"/>
            </w:tcMar>
            <w:vAlign w:val="center"/>
          </w:tcPr>
          <w:p w14:paraId="63368E61">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筛查</w:t>
            </w:r>
            <w:r>
              <w:rPr>
                <w:rFonts w:hint="eastAsia" w:ascii="宋体" w:hAnsi="宋体" w:eastAsia="宋体" w:cs="宋体"/>
                <w:kern w:val="0"/>
                <w:sz w:val="24"/>
                <w:lang w:eastAsia="zh-CN"/>
              </w:rPr>
              <w:t>实现全</w:t>
            </w:r>
            <w:r>
              <w:rPr>
                <w:rFonts w:hint="eastAsia" w:ascii="宋体" w:hAnsi="宋体" w:eastAsia="宋体" w:cs="宋体"/>
                <w:kern w:val="0"/>
                <w:sz w:val="24"/>
              </w:rPr>
              <w:t>覆盖，视力档案建档率100%，异常学生干预率100%</w:t>
            </w:r>
          </w:p>
        </w:tc>
        <w:tc>
          <w:tcPr>
            <w:tcW w:w="2444" w:type="dxa"/>
            <w:tcBorders>
              <w:tl2br w:val="nil"/>
              <w:tr2bl w:val="nil"/>
            </w:tcBorders>
            <w:shd w:val="clear" w:color="auto" w:fill="auto"/>
            <w:tcMar>
              <w:top w:w="120" w:type="dxa"/>
              <w:left w:w="120" w:type="dxa"/>
              <w:bottom w:w="120" w:type="dxa"/>
              <w:right w:w="120" w:type="dxa"/>
            </w:tcMar>
            <w:vAlign w:val="center"/>
          </w:tcPr>
          <w:p w14:paraId="1235B13B">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动态跟踪视力变化，近视发生率逐年稳步下降</w:t>
            </w:r>
          </w:p>
        </w:tc>
        <w:tc>
          <w:tcPr>
            <w:tcW w:w="1485" w:type="dxa"/>
            <w:tcBorders>
              <w:tl2br w:val="nil"/>
              <w:tr2bl w:val="nil"/>
            </w:tcBorders>
            <w:shd w:val="clear" w:color="auto" w:fill="auto"/>
            <w:tcMar>
              <w:top w:w="120" w:type="dxa"/>
              <w:left w:w="120" w:type="dxa"/>
              <w:bottom w:w="120" w:type="dxa"/>
              <w:right w:w="120" w:type="dxa"/>
            </w:tcMar>
            <w:vAlign w:val="center"/>
          </w:tcPr>
          <w:p w14:paraId="60BE5762">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lang w:val="en-US" w:eastAsia="zh-CN"/>
              </w:rPr>
              <w:t>属地</w:t>
            </w:r>
            <w:r>
              <w:rPr>
                <w:rFonts w:hint="eastAsia" w:ascii="宋体" w:hAnsi="宋体" w:eastAsia="宋体" w:cs="宋体"/>
                <w:kern w:val="0"/>
                <w:sz w:val="24"/>
              </w:rPr>
              <w:t>教体、卫健部门，各校</w:t>
            </w:r>
          </w:p>
        </w:tc>
        <w:tc>
          <w:tcPr>
            <w:tcW w:w="1951" w:type="dxa"/>
            <w:tcBorders>
              <w:tl2br w:val="nil"/>
              <w:tr2bl w:val="nil"/>
            </w:tcBorders>
            <w:shd w:val="clear" w:color="auto" w:fill="auto"/>
            <w:tcMar>
              <w:top w:w="120" w:type="dxa"/>
              <w:left w:w="120" w:type="dxa"/>
              <w:bottom w:w="120" w:type="dxa"/>
              <w:right w:w="120" w:type="dxa"/>
            </w:tcMar>
            <w:vAlign w:val="center"/>
          </w:tcPr>
          <w:p w14:paraId="383CD3B2">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筛查报表、一人一档台账</w:t>
            </w:r>
          </w:p>
        </w:tc>
      </w:tr>
      <w:tr w14:paraId="4B6BB1EA">
        <w:tblPrEx>
          <w:tblLayout w:type="fixed"/>
        </w:tblPrEx>
        <w:trPr>
          <w:trHeight w:val="2108" w:hRule="atLeast"/>
          <w:jc w:val="center"/>
        </w:trPr>
        <w:tc>
          <w:tcPr>
            <w:tcW w:w="913" w:type="dxa"/>
            <w:vMerge w:val="continue"/>
            <w:tcBorders>
              <w:tl2br w:val="nil"/>
              <w:tr2bl w:val="nil"/>
            </w:tcBorders>
            <w:shd w:val="clear" w:color="auto" w:fill="auto"/>
            <w:tcMar>
              <w:top w:w="120" w:type="dxa"/>
              <w:left w:w="120" w:type="dxa"/>
              <w:bottom w:w="120" w:type="dxa"/>
              <w:right w:w="120" w:type="dxa"/>
            </w:tcMar>
            <w:vAlign w:val="center"/>
          </w:tcPr>
          <w:p w14:paraId="13DE29D4">
            <w:pPr>
              <w:widowControl/>
              <w:adjustRightInd w:val="0"/>
              <w:snapToGrid w:val="0"/>
              <w:jc w:val="center"/>
              <w:rPr>
                <w:rFonts w:ascii="宋体" w:hAnsi="宋体" w:eastAsia="宋体" w:cs="宋体"/>
                <w:sz w:val="24"/>
              </w:rPr>
            </w:pPr>
          </w:p>
        </w:tc>
        <w:tc>
          <w:tcPr>
            <w:tcW w:w="1448" w:type="dxa"/>
            <w:tcBorders>
              <w:tl2br w:val="nil"/>
              <w:tr2bl w:val="nil"/>
            </w:tcBorders>
            <w:shd w:val="clear" w:color="auto" w:fill="auto"/>
            <w:tcMar>
              <w:top w:w="120" w:type="dxa"/>
              <w:left w:w="120" w:type="dxa"/>
              <w:bottom w:w="120" w:type="dxa"/>
              <w:right w:w="120" w:type="dxa"/>
            </w:tcMar>
            <w:vAlign w:val="center"/>
          </w:tcPr>
          <w:p w14:paraId="1A3195E7">
            <w:pPr>
              <w:widowControl/>
              <w:adjustRightInd w:val="0"/>
              <w:snapToGrid w:val="0"/>
              <w:jc w:val="left"/>
              <w:textAlignment w:val="top"/>
              <w:rPr>
                <w:rFonts w:ascii="宋体" w:hAnsi="宋体" w:eastAsia="宋体" w:cs="宋体"/>
                <w:sz w:val="24"/>
              </w:rPr>
            </w:pPr>
            <w:r>
              <w:rPr>
                <w:rFonts w:hint="eastAsia" w:ascii="宋体" w:hAnsi="宋体" w:eastAsia="宋体" w:cs="宋体"/>
                <w:kern w:val="0"/>
                <w:sz w:val="24"/>
              </w:rPr>
              <w:t>农村教室采光照明、课桌椅标准化改造完成率</w:t>
            </w:r>
          </w:p>
        </w:tc>
        <w:tc>
          <w:tcPr>
            <w:tcW w:w="3408" w:type="dxa"/>
            <w:tcBorders>
              <w:tl2br w:val="nil"/>
              <w:tr2bl w:val="nil"/>
            </w:tcBorders>
            <w:shd w:val="clear" w:color="auto" w:fill="auto"/>
            <w:tcMar>
              <w:top w:w="120" w:type="dxa"/>
              <w:left w:w="120" w:type="dxa"/>
              <w:bottom w:w="120" w:type="dxa"/>
              <w:right w:w="120" w:type="dxa"/>
            </w:tcMar>
            <w:vAlign w:val="center"/>
          </w:tcPr>
          <w:p w14:paraId="6BB79E10">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改造完成率≥80%</w:t>
            </w:r>
          </w:p>
        </w:tc>
        <w:tc>
          <w:tcPr>
            <w:tcW w:w="2428" w:type="dxa"/>
            <w:tcBorders>
              <w:tl2br w:val="nil"/>
              <w:tr2bl w:val="nil"/>
            </w:tcBorders>
            <w:shd w:val="clear" w:color="auto" w:fill="auto"/>
            <w:tcMar>
              <w:top w:w="120" w:type="dxa"/>
              <w:left w:w="120" w:type="dxa"/>
              <w:bottom w:w="120" w:type="dxa"/>
              <w:right w:w="120" w:type="dxa"/>
            </w:tcMar>
            <w:vAlign w:val="center"/>
          </w:tcPr>
          <w:p w14:paraId="5D295253">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农村所有教学点位100%标准化改造到位</w:t>
            </w:r>
          </w:p>
        </w:tc>
        <w:tc>
          <w:tcPr>
            <w:tcW w:w="2444" w:type="dxa"/>
            <w:tcBorders>
              <w:tl2br w:val="nil"/>
              <w:tr2bl w:val="nil"/>
            </w:tcBorders>
            <w:shd w:val="clear" w:color="auto" w:fill="auto"/>
            <w:tcMar>
              <w:top w:w="120" w:type="dxa"/>
              <w:left w:w="120" w:type="dxa"/>
              <w:bottom w:w="120" w:type="dxa"/>
              <w:right w:w="120" w:type="dxa"/>
            </w:tcMar>
            <w:vAlign w:val="center"/>
          </w:tcPr>
          <w:p w14:paraId="613A08F2">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每学年开展一次用眼环境回头看排查整改</w:t>
            </w:r>
          </w:p>
        </w:tc>
        <w:tc>
          <w:tcPr>
            <w:tcW w:w="1485" w:type="dxa"/>
            <w:tcBorders>
              <w:tl2br w:val="nil"/>
              <w:tr2bl w:val="nil"/>
            </w:tcBorders>
            <w:shd w:val="clear" w:color="auto" w:fill="auto"/>
            <w:tcMar>
              <w:top w:w="120" w:type="dxa"/>
              <w:left w:w="120" w:type="dxa"/>
              <w:bottom w:w="120" w:type="dxa"/>
              <w:right w:w="120" w:type="dxa"/>
            </w:tcMar>
            <w:vAlign w:val="center"/>
          </w:tcPr>
          <w:p w14:paraId="0BAD9156">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属地教体局、各校</w:t>
            </w:r>
          </w:p>
        </w:tc>
        <w:tc>
          <w:tcPr>
            <w:tcW w:w="1951" w:type="dxa"/>
            <w:tcBorders>
              <w:tl2br w:val="nil"/>
              <w:tr2bl w:val="nil"/>
            </w:tcBorders>
            <w:shd w:val="clear" w:color="auto" w:fill="auto"/>
            <w:tcMar>
              <w:top w:w="120" w:type="dxa"/>
              <w:left w:w="120" w:type="dxa"/>
              <w:bottom w:w="120" w:type="dxa"/>
              <w:right w:w="120" w:type="dxa"/>
            </w:tcMar>
            <w:vAlign w:val="center"/>
          </w:tcPr>
          <w:p w14:paraId="02230652">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现场核验、改造验收台账</w:t>
            </w:r>
          </w:p>
        </w:tc>
      </w:tr>
      <w:tr w14:paraId="40BAAC77">
        <w:tblPrEx>
          <w:tblLayout w:type="fixed"/>
        </w:tblPrEx>
        <w:trPr>
          <w:trHeight w:val="2072" w:hRule="atLeast"/>
          <w:jc w:val="center"/>
        </w:trPr>
        <w:tc>
          <w:tcPr>
            <w:tcW w:w="913" w:type="dxa"/>
            <w:vMerge w:val="continue"/>
            <w:tcBorders>
              <w:tl2br w:val="nil"/>
              <w:tr2bl w:val="nil"/>
            </w:tcBorders>
            <w:shd w:val="clear" w:color="auto" w:fill="auto"/>
            <w:tcMar>
              <w:top w:w="120" w:type="dxa"/>
              <w:left w:w="120" w:type="dxa"/>
              <w:bottom w:w="120" w:type="dxa"/>
              <w:right w:w="120" w:type="dxa"/>
            </w:tcMar>
            <w:vAlign w:val="center"/>
          </w:tcPr>
          <w:p w14:paraId="755A54C8">
            <w:pPr>
              <w:widowControl/>
              <w:adjustRightInd w:val="0"/>
              <w:snapToGrid w:val="0"/>
              <w:jc w:val="center"/>
              <w:rPr>
                <w:rFonts w:ascii="宋体" w:hAnsi="宋体" w:eastAsia="宋体" w:cs="宋体"/>
                <w:sz w:val="24"/>
              </w:rPr>
            </w:pPr>
          </w:p>
        </w:tc>
        <w:tc>
          <w:tcPr>
            <w:tcW w:w="1448" w:type="dxa"/>
            <w:tcBorders>
              <w:tl2br w:val="nil"/>
              <w:tr2bl w:val="nil"/>
            </w:tcBorders>
            <w:shd w:val="clear" w:color="auto" w:fill="auto"/>
            <w:tcMar>
              <w:top w:w="120" w:type="dxa"/>
              <w:left w:w="120" w:type="dxa"/>
              <w:bottom w:w="120" w:type="dxa"/>
              <w:right w:w="120" w:type="dxa"/>
            </w:tcMar>
            <w:vAlign w:val="center"/>
          </w:tcPr>
          <w:p w14:paraId="67D0D20F">
            <w:pPr>
              <w:widowControl/>
              <w:adjustRightInd w:val="0"/>
              <w:snapToGrid w:val="0"/>
              <w:jc w:val="left"/>
              <w:textAlignment w:val="top"/>
              <w:rPr>
                <w:rFonts w:ascii="宋体" w:hAnsi="宋体" w:eastAsia="宋体" w:cs="宋体"/>
                <w:sz w:val="24"/>
              </w:rPr>
            </w:pPr>
            <w:r>
              <w:rPr>
                <w:rFonts w:hint="eastAsia" w:ascii="宋体" w:hAnsi="宋体" w:eastAsia="宋体" w:cs="宋体"/>
                <w:kern w:val="0"/>
                <w:sz w:val="24"/>
              </w:rPr>
              <w:t>校园电子产品使用管控达标率</w:t>
            </w:r>
          </w:p>
        </w:tc>
        <w:tc>
          <w:tcPr>
            <w:tcW w:w="3408" w:type="dxa"/>
            <w:tcBorders>
              <w:tl2br w:val="nil"/>
              <w:tr2bl w:val="nil"/>
            </w:tcBorders>
            <w:shd w:val="clear" w:color="auto" w:fill="auto"/>
            <w:tcMar>
              <w:top w:w="120" w:type="dxa"/>
              <w:left w:w="120" w:type="dxa"/>
              <w:bottom w:w="120" w:type="dxa"/>
              <w:right w:w="120" w:type="dxa"/>
            </w:tcMar>
            <w:vAlign w:val="center"/>
          </w:tcPr>
          <w:p w14:paraId="24AD0779">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管控达标率≥93%</w:t>
            </w:r>
          </w:p>
        </w:tc>
        <w:tc>
          <w:tcPr>
            <w:tcW w:w="2428" w:type="dxa"/>
            <w:tcBorders>
              <w:tl2br w:val="nil"/>
              <w:tr2bl w:val="nil"/>
            </w:tcBorders>
            <w:shd w:val="clear" w:color="auto" w:fill="auto"/>
            <w:tcMar>
              <w:top w:w="120" w:type="dxa"/>
              <w:left w:w="120" w:type="dxa"/>
              <w:bottom w:w="120" w:type="dxa"/>
              <w:right w:w="120" w:type="dxa"/>
            </w:tcMar>
            <w:vAlign w:val="center"/>
          </w:tcPr>
          <w:p w14:paraId="30BFAC77">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100%落实电子产品管控要求</w:t>
            </w:r>
          </w:p>
        </w:tc>
        <w:tc>
          <w:tcPr>
            <w:tcW w:w="2444" w:type="dxa"/>
            <w:tcBorders>
              <w:tl2br w:val="nil"/>
              <w:tr2bl w:val="nil"/>
            </w:tcBorders>
            <w:shd w:val="clear" w:color="auto" w:fill="auto"/>
            <w:tcMar>
              <w:top w:w="120" w:type="dxa"/>
              <w:left w:w="120" w:type="dxa"/>
              <w:bottom w:w="120" w:type="dxa"/>
              <w:right w:w="120" w:type="dxa"/>
            </w:tcMar>
            <w:vAlign w:val="center"/>
          </w:tcPr>
          <w:p w14:paraId="3627697B">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常态化管控，杜绝违规长时间使用电子产品教学</w:t>
            </w:r>
          </w:p>
        </w:tc>
        <w:tc>
          <w:tcPr>
            <w:tcW w:w="1485" w:type="dxa"/>
            <w:tcBorders>
              <w:tl2br w:val="nil"/>
              <w:tr2bl w:val="nil"/>
            </w:tcBorders>
            <w:shd w:val="clear" w:color="auto" w:fill="auto"/>
            <w:tcMar>
              <w:top w:w="120" w:type="dxa"/>
              <w:left w:w="120" w:type="dxa"/>
              <w:bottom w:w="120" w:type="dxa"/>
              <w:right w:w="120" w:type="dxa"/>
            </w:tcMar>
            <w:vAlign w:val="center"/>
          </w:tcPr>
          <w:p w14:paraId="066D105C">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各农村校、园</w:t>
            </w:r>
          </w:p>
        </w:tc>
        <w:tc>
          <w:tcPr>
            <w:tcW w:w="1951" w:type="dxa"/>
            <w:tcBorders>
              <w:tl2br w:val="nil"/>
              <w:tr2bl w:val="nil"/>
            </w:tcBorders>
            <w:shd w:val="clear" w:color="auto" w:fill="auto"/>
            <w:tcMar>
              <w:top w:w="120" w:type="dxa"/>
              <w:left w:w="120" w:type="dxa"/>
              <w:bottom w:w="120" w:type="dxa"/>
              <w:right w:w="120" w:type="dxa"/>
            </w:tcMar>
            <w:vAlign w:val="center"/>
          </w:tcPr>
          <w:p w14:paraId="1109DFF3">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课堂巡查、教学设备使用记录</w:t>
            </w:r>
          </w:p>
        </w:tc>
      </w:tr>
      <w:tr w14:paraId="78EBC346">
        <w:tblPrEx>
          <w:tblLayout w:type="fixed"/>
        </w:tblPrEx>
        <w:trPr>
          <w:trHeight w:val="1672" w:hRule="atLeast"/>
          <w:jc w:val="center"/>
        </w:trPr>
        <w:tc>
          <w:tcPr>
            <w:tcW w:w="913" w:type="dxa"/>
            <w:vMerge w:val="restart"/>
            <w:tcBorders>
              <w:tl2br w:val="nil"/>
              <w:tr2bl w:val="nil"/>
            </w:tcBorders>
            <w:shd w:val="clear" w:color="auto" w:fill="auto"/>
            <w:tcMar>
              <w:top w:w="120" w:type="dxa"/>
              <w:left w:w="120" w:type="dxa"/>
              <w:bottom w:w="120" w:type="dxa"/>
              <w:right w:w="120" w:type="dxa"/>
            </w:tcMar>
            <w:vAlign w:val="center"/>
          </w:tcPr>
          <w:p w14:paraId="4E3812CF">
            <w:pPr>
              <w:widowControl/>
              <w:adjustRightInd w:val="0"/>
              <w:snapToGrid w:val="0"/>
              <w:jc w:val="center"/>
              <w:textAlignment w:val="top"/>
              <w:rPr>
                <w:rFonts w:ascii="宋体" w:hAnsi="宋体" w:eastAsia="宋体" w:cs="宋体"/>
                <w:sz w:val="24"/>
              </w:rPr>
            </w:pPr>
            <w:r>
              <w:rPr>
                <w:rStyle w:val="6"/>
                <w:rFonts w:hint="eastAsia" w:ascii="宋体" w:hAnsi="宋体" w:eastAsia="宋体" w:cs="宋体"/>
                <w:kern w:val="0"/>
                <w:sz w:val="24"/>
              </w:rPr>
              <w:t>五、心灵护航行动</w:t>
            </w:r>
          </w:p>
        </w:tc>
        <w:tc>
          <w:tcPr>
            <w:tcW w:w="1448" w:type="dxa"/>
            <w:tcBorders>
              <w:tl2br w:val="nil"/>
              <w:tr2bl w:val="nil"/>
            </w:tcBorders>
            <w:shd w:val="clear" w:color="auto" w:fill="auto"/>
            <w:tcMar>
              <w:top w:w="120" w:type="dxa"/>
              <w:left w:w="120" w:type="dxa"/>
              <w:bottom w:w="120" w:type="dxa"/>
              <w:right w:w="120" w:type="dxa"/>
            </w:tcMar>
            <w:vAlign w:val="center"/>
          </w:tcPr>
          <w:p w14:paraId="2AD997C6">
            <w:pPr>
              <w:widowControl/>
              <w:adjustRightInd w:val="0"/>
              <w:snapToGrid w:val="0"/>
              <w:jc w:val="left"/>
              <w:textAlignment w:val="top"/>
              <w:rPr>
                <w:rFonts w:ascii="宋体" w:hAnsi="宋体" w:eastAsia="宋体" w:cs="宋体"/>
                <w:sz w:val="24"/>
              </w:rPr>
            </w:pPr>
            <w:r>
              <w:rPr>
                <w:rFonts w:hint="eastAsia" w:ascii="宋体" w:hAnsi="宋体" w:eastAsia="宋体" w:cs="宋体"/>
                <w:kern w:val="0"/>
                <w:sz w:val="24"/>
              </w:rPr>
              <w:t>专职心理健康教师配备覆盖率</w:t>
            </w:r>
          </w:p>
        </w:tc>
        <w:tc>
          <w:tcPr>
            <w:tcW w:w="3408" w:type="dxa"/>
            <w:tcBorders>
              <w:tl2br w:val="nil"/>
              <w:tr2bl w:val="nil"/>
            </w:tcBorders>
            <w:shd w:val="clear" w:color="auto" w:fill="auto"/>
            <w:tcMar>
              <w:top w:w="120" w:type="dxa"/>
              <w:left w:w="120" w:type="dxa"/>
              <w:bottom w:w="120" w:type="dxa"/>
              <w:right w:w="120" w:type="dxa"/>
            </w:tcMar>
            <w:vAlign w:val="center"/>
          </w:tcPr>
          <w:p w14:paraId="10395E89">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专职心理教师配备覆盖率≥80%</w:t>
            </w:r>
          </w:p>
        </w:tc>
        <w:tc>
          <w:tcPr>
            <w:tcW w:w="2428" w:type="dxa"/>
            <w:tcBorders>
              <w:tl2br w:val="nil"/>
              <w:tr2bl w:val="nil"/>
            </w:tcBorders>
            <w:shd w:val="clear" w:color="auto" w:fill="auto"/>
            <w:tcMar>
              <w:top w:w="120" w:type="dxa"/>
              <w:left w:w="120" w:type="dxa"/>
              <w:bottom w:w="120" w:type="dxa"/>
              <w:right w:w="120" w:type="dxa"/>
            </w:tcMar>
            <w:vAlign w:val="center"/>
          </w:tcPr>
          <w:p w14:paraId="02636145">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逐步逼近1:800省级标准配比，小规模学校兼职师资全覆盖</w:t>
            </w:r>
          </w:p>
        </w:tc>
        <w:tc>
          <w:tcPr>
            <w:tcW w:w="2444" w:type="dxa"/>
            <w:tcBorders>
              <w:tl2br w:val="nil"/>
              <w:tr2bl w:val="nil"/>
            </w:tcBorders>
            <w:shd w:val="clear" w:color="auto" w:fill="auto"/>
            <w:tcMar>
              <w:top w:w="120" w:type="dxa"/>
              <w:left w:w="120" w:type="dxa"/>
              <w:bottom w:w="120" w:type="dxa"/>
              <w:right w:w="120" w:type="dxa"/>
            </w:tcMar>
            <w:vAlign w:val="center"/>
          </w:tcPr>
          <w:p w14:paraId="4CA5D695">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全面达标1:800师生比，专职师资无缺口</w:t>
            </w:r>
          </w:p>
        </w:tc>
        <w:tc>
          <w:tcPr>
            <w:tcW w:w="1485" w:type="dxa"/>
            <w:tcBorders>
              <w:tl2br w:val="nil"/>
              <w:tr2bl w:val="nil"/>
            </w:tcBorders>
            <w:shd w:val="clear" w:color="auto" w:fill="auto"/>
            <w:tcMar>
              <w:top w:w="120" w:type="dxa"/>
              <w:left w:w="120" w:type="dxa"/>
              <w:bottom w:w="120" w:type="dxa"/>
              <w:right w:w="120" w:type="dxa"/>
            </w:tcMar>
            <w:vAlign w:val="center"/>
          </w:tcPr>
          <w:p w14:paraId="0020F99D">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市县教体局、各农村学校</w:t>
            </w:r>
          </w:p>
        </w:tc>
        <w:tc>
          <w:tcPr>
            <w:tcW w:w="1951" w:type="dxa"/>
            <w:tcBorders>
              <w:tl2br w:val="nil"/>
              <w:tr2bl w:val="nil"/>
            </w:tcBorders>
            <w:shd w:val="clear" w:color="auto" w:fill="auto"/>
            <w:tcMar>
              <w:top w:w="120" w:type="dxa"/>
              <w:left w:w="120" w:type="dxa"/>
              <w:bottom w:w="120" w:type="dxa"/>
              <w:right w:w="120" w:type="dxa"/>
            </w:tcMar>
            <w:vAlign w:val="center"/>
          </w:tcPr>
          <w:p w14:paraId="542B15F1">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师资花名册、编制台账核查</w:t>
            </w:r>
          </w:p>
        </w:tc>
      </w:tr>
      <w:tr w14:paraId="5AF73E35">
        <w:tblPrEx>
          <w:tblLayout w:type="fixed"/>
        </w:tblPrEx>
        <w:trPr>
          <w:trHeight w:val="1241" w:hRule="atLeast"/>
          <w:jc w:val="center"/>
        </w:trPr>
        <w:tc>
          <w:tcPr>
            <w:tcW w:w="913" w:type="dxa"/>
            <w:vMerge w:val="continue"/>
            <w:tcBorders>
              <w:tl2br w:val="nil"/>
              <w:tr2bl w:val="nil"/>
            </w:tcBorders>
            <w:shd w:val="clear" w:color="auto" w:fill="auto"/>
            <w:tcMar>
              <w:top w:w="120" w:type="dxa"/>
              <w:left w:w="120" w:type="dxa"/>
              <w:bottom w:w="120" w:type="dxa"/>
              <w:right w:w="120" w:type="dxa"/>
            </w:tcMar>
            <w:vAlign w:val="center"/>
          </w:tcPr>
          <w:p w14:paraId="3161D4B5">
            <w:pPr>
              <w:widowControl/>
              <w:adjustRightInd w:val="0"/>
              <w:snapToGrid w:val="0"/>
              <w:jc w:val="center"/>
              <w:rPr>
                <w:rFonts w:ascii="宋体" w:hAnsi="宋体" w:eastAsia="宋体" w:cs="宋体"/>
                <w:sz w:val="24"/>
              </w:rPr>
            </w:pPr>
          </w:p>
        </w:tc>
        <w:tc>
          <w:tcPr>
            <w:tcW w:w="1448" w:type="dxa"/>
            <w:tcBorders>
              <w:tl2br w:val="nil"/>
              <w:tr2bl w:val="nil"/>
            </w:tcBorders>
            <w:shd w:val="clear" w:color="auto" w:fill="auto"/>
            <w:tcMar>
              <w:top w:w="120" w:type="dxa"/>
              <w:left w:w="120" w:type="dxa"/>
              <w:bottom w:w="120" w:type="dxa"/>
              <w:right w:w="120" w:type="dxa"/>
            </w:tcMar>
            <w:vAlign w:val="center"/>
          </w:tcPr>
          <w:p w14:paraId="414D9069">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教师心理健康专项年度培训学时</w:t>
            </w:r>
          </w:p>
        </w:tc>
        <w:tc>
          <w:tcPr>
            <w:tcW w:w="3408" w:type="dxa"/>
            <w:tcBorders>
              <w:tl2br w:val="nil"/>
              <w:tr2bl w:val="nil"/>
            </w:tcBorders>
            <w:shd w:val="clear" w:color="auto" w:fill="auto"/>
            <w:tcMar>
              <w:top w:w="120" w:type="dxa"/>
              <w:left w:w="120" w:type="dxa"/>
              <w:bottom w:w="120" w:type="dxa"/>
              <w:right w:w="120" w:type="dxa"/>
            </w:tcMar>
            <w:vAlign w:val="center"/>
          </w:tcPr>
          <w:p w14:paraId="4BB9D39D">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全员年度培训学时≥25学时，达标率100%</w:t>
            </w:r>
          </w:p>
        </w:tc>
        <w:tc>
          <w:tcPr>
            <w:tcW w:w="2428" w:type="dxa"/>
            <w:tcBorders>
              <w:tl2br w:val="nil"/>
              <w:tr2bl w:val="nil"/>
            </w:tcBorders>
            <w:shd w:val="clear" w:color="auto" w:fill="auto"/>
            <w:tcMar>
              <w:top w:w="120" w:type="dxa"/>
              <w:left w:w="120" w:type="dxa"/>
              <w:bottom w:w="120" w:type="dxa"/>
              <w:right w:w="120" w:type="dxa"/>
            </w:tcMar>
            <w:vAlign w:val="center"/>
          </w:tcPr>
          <w:p w14:paraId="0A17E4EB">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保持学时要求，新增心理危机实战演练每学年1次</w:t>
            </w:r>
          </w:p>
        </w:tc>
        <w:tc>
          <w:tcPr>
            <w:tcW w:w="2444" w:type="dxa"/>
            <w:tcBorders>
              <w:tl2br w:val="nil"/>
              <w:tr2bl w:val="nil"/>
            </w:tcBorders>
            <w:shd w:val="clear" w:color="auto" w:fill="auto"/>
            <w:tcMar>
              <w:top w:w="120" w:type="dxa"/>
              <w:left w:w="120" w:type="dxa"/>
              <w:bottom w:w="120" w:type="dxa"/>
              <w:right w:w="120" w:type="dxa"/>
            </w:tcMar>
            <w:vAlign w:val="center"/>
          </w:tcPr>
          <w:p w14:paraId="169E06E8">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分层开展骨干师资培优，县域心理名师结对帮扶全覆盖</w:t>
            </w:r>
          </w:p>
        </w:tc>
        <w:tc>
          <w:tcPr>
            <w:tcW w:w="1485" w:type="dxa"/>
            <w:tcBorders>
              <w:tl2br w:val="nil"/>
              <w:tr2bl w:val="nil"/>
            </w:tcBorders>
            <w:shd w:val="clear" w:color="auto" w:fill="auto"/>
            <w:tcMar>
              <w:top w:w="120" w:type="dxa"/>
              <w:left w:w="120" w:type="dxa"/>
              <w:bottom w:w="120" w:type="dxa"/>
              <w:right w:w="120" w:type="dxa"/>
            </w:tcMar>
            <w:vAlign w:val="center"/>
          </w:tcPr>
          <w:p w14:paraId="4147F8F2">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市县教研部门、各校</w:t>
            </w:r>
          </w:p>
        </w:tc>
        <w:tc>
          <w:tcPr>
            <w:tcW w:w="1951" w:type="dxa"/>
            <w:tcBorders>
              <w:tl2br w:val="nil"/>
              <w:tr2bl w:val="nil"/>
            </w:tcBorders>
            <w:shd w:val="clear" w:color="auto" w:fill="auto"/>
            <w:tcMar>
              <w:top w:w="120" w:type="dxa"/>
              <w:left w:w="120" w:type="dxa"/>
              <w:bottom w:w="120" w:type="dxa"/>
              <w:right w:w="120" w:type="dxa"/>
            </w:tcMar>
            <w:vAlign w:val="center"/>
          </w:tcPr>
          <w:p w14:paraId="72827E6D">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培训证书、学时登记台账</w:t>
            </w:r>
          </w:p>
        </w:tc>
      </w:tr>
      <w:tr w14:paraId="11C45B88">
        <w:tblPrEx>
          <w:tblLayout w:type="fixed"/>
        </w:tblPrEx>
        <w:trPr>
          <w:trHeight w:val="1646" w:hRule="atLeast"/>
          <w:jc w:val="center"/>
        </w:trPr>
        <w:tc>
          <w:tcPr>
            <w:tcW w:w="913" w:type="dxa"/>
            <w:vMerge w:val="continue"/>
            <w:tcBorders>
              <w:tl2br w:val="nil"/>
              <w:tr2bl w:val="nil"/>
            </w:tcBorders>
            <w:shd w:val="clear" w:color="auto" w:fill="auto"/>
            <w:tcMar>
              <w:top w:w="120" w:type="dxa"/>
              <w:left w:w="120" w:type="dxa"/>
              <w:bottom w:w="120" w:type="dxa"/>
              <w:right w:w="120" w:type="dxa"/>
            </w:tcMar>
            <w:vAlign w:val="center"/>
          </w:tcPr>
          <w:p w14:paraId="6B826953">
            <w:pPr>
              <w:widowControl/>
              <w:adjustRightInd w:val="0"/>
              <w:snapToGrid w:val="0"/>
              <w:jc w:val="center"/>
              <w:rPr>
                <w:rFonts w:ascii="宋体" w:hAnsi="宋体" w:eastAsia="宋体" w:cs="宋体"/>
                <w:sz w:val="24"/>
              </w:rPr>
            </w:pPr>
          </w:p>
        </w:tc>
        <w:tc>
          <w:tcPr>
            <w:tcW w:w="1448" w:type="dxa"/>
            <w:tcBorders>
              <w:tl2br w:val="nil"/>
              <w:tr2bl w:val="nil"/>
            </w:tcBorders>
            <w:shd w:val="clear" w:color="auto" w:fill="auto"/>
            <w:tcMar>
              <w:top w:w="120" w:type="dxa"/>
              <w:left w:w="120" w:type="dxa"/>
              <w:bottom w:w="120" w:type="dxa"/>
              <w:right w:w="120" w:type="dxa"/>
            </w:tcMar>
            <w:vAlign w:val="center"/>
          </w:tcPr>
          <w:p w14:paraId="11558682">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学生心理全员筛查率+三色预警管控率</w:t>
            </w:r>
          </w:p>
        </w:tc>
        <w:tc>
          <w:tcPr>
            <w:tcW w:w="3408" w:type="dxa"/>
            <w:tcBorders>
              <w:tl2br w:val="nil"/>
              <w:tr2bl w:val="nil"/>
            </w:tcBorders>
            <w:shd w:val="clear" w:color="auto" w:fill="auto"/>
            <w:tcMar>
              <w:top w:w="120" w:type="dxa"/>
              <w:left w:w="120" w:type="dxa"/>
              <w:bottom w:w="120" w:type="dxa"/>
              <w:right w:w="120" w:type="dxa"/>
            </w:tcMar>
            <w:vAlign w:val="center"/>
          </w:tcPr>
          <w:p w14:paraId="133F0361">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全员筛查率100%，红黄重点人群周谈心跟踪率100%</w:t>
            </w:r>
          </w:p>
        </w:tc>
        <w:tc>
          <w:tcPr>
            <w:tcW w:w="2428" w:type="dxa"/>
            <w:tcBorders>
              <w:tl2br w:val="nil"/>
              <w:tr2bl w:val="nil"/>
            </w:tcBorders>
            <w:shd w:val="clear" w:color="auto" w:fill="auto"/>
            <w:tcMar>
              <w:top w:w="120" w:type="dxa"/>
              <w:left w:w="120" w:type="dxa"/>
              <w:bottom w:w="120" w:type="dxa"/>
              <w:right w:w="120" w:type="dxa"/>
            </w:tcMar>
            <w:vAlign w:val="center"/>
          </w:tcPr>
          <w:p w14:paraId="12FF00E3">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心理成长档案完善率100%，预警干预闭环率100%</w:t>
            </w:r>
          </w:p>
        </w:tc>
        <w:tc>
          <w:tcPr>
            <w:tcW w:w="2444" w:type="dxa"/>
            <w:tcBorders>
              <w:tl2br w:val="nil"/>
              <w:tr2bl w:val="nil"/>
            </w:tcBorders>
            <w:shd w:val="clear" w:color="auto" w:fill="auto"/>
            <w:tcMar>
              <w:top w:w="120" w:type="dxa"/>
              <w:left w:w="120" w:type="dxa"/>
              <w:bottom w:w="120" w:type="dxa"/>
              <w:right w:w="120" w:type="dxa"/>
            </w:tcMar>
            <w:vAlign w:val="center"/>
          </w:tcPr>
          <w:p w14:paraId="0B075C66">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三级预警体系高效运转，心理危机零疏漏</w:t>
            </w:r>
          </w:p>
        </w:tc>
        <w:tc>
          <w:tcPr>
            <w:tcW w:w="1485" w:type="dxa"/>
            <w:tcBorders>
              <w:tl2br w:val="nil"/>
              <w:tr2bl w:val="nil"/>
            </w:tcBorders>
            <w:shd w:val="clear" w:color="auto" w:fill="auto"/>
            <w:tcMar>
              <w:top w:w="120" w:type="dxa"/>
              <w:left w:w="120" w:type="dxa"/>
              <w:bottom w:w="120" w:type="dxa"/>
              <w:right w:w="120" w:type="dxa"/>
            </w:tcMar>
            <w:vAlign w:val="center"/>
          </w:tcPr>
          <w:p w14:paraId="375BAF6E">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各校心理辅导室、班主任</w:t>
            </w:r>
          </w:p>
        </w:tc>
        <w:tc>
          <w:tcPr>
            <w:tcW w:w="1951" w:type="dxa"/>
            <w:tcBorders>
              <w:tl2br w:val="nil"/>
              <w:tr2bl w:val="nil"/>
            </w:tcBorders>
            <w:shd w:val="clear" w:color="auto" w:fill="auto"/>
            <w:tcMar>
              <w:top w:w="120" w:type="dxa"/>
              <w:left w:w="120" w:type="dxa"/>
              <w:bottom w:w="120" w:type="dxa"/>
              <w:right w:w="120" w:type="dxa"/>
            </w:tcMar>
            <w:vAlign w:val="center"/>
          </w:tcPr>
          <w:p w14:paraId="72CD2351">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测评数据、谈心记录、干预台账</w:t>
            </w:r>
          </w:p>
        </w:tc>
      </w:tr>
      <w:tr w14:paraId="3E20AE65">
        <w:tblPrEx>
          <w:tblLayout w:type="fixed"/>
        </w:tblPrEx>
        <w:trPr>
          <w:trHeight w:val="90" w:hRule="atLeast"/>
          <w:jc w:val="center"/>
        </w:trPr>
        <w:tc>
          <w:tcPr>
            <w:tcW w:w="913" w:type="dxa"/>
            <w:vMerge w:val="continue"/>
            <w:tcBorders>
              <w:tl2br w:val="nil"/>
              <w:tr2bl w:val="nil"/>
            </w:tcBorders>
            <w:shd w:val="clear" w:color="auto" w:fill="auto"/>
            <w:tcMar>
              <w:top w:w="120" w:type="dxa"/>
              <w:left w:w="120" w:type="dxa"/>
              <w:bottom w:w="120" w:type="dxa"/>
              <w:right w:w="120" w:type="dxa"/>
            </w:tcMar>
            <w:vAlign w:val="center"/>
          </w:tcPr>
          <w:p w14:paraId="697B0718">
            <w:pPr>
              <w:widowControl/>
              <w:adjustRightInd w:val="0"/>
              <w:snapToGrid w:val="0"/>
              <w:jc w:val="center"/>
              <w:rPr>
                <w:rFonts w:ascii="宋体" w:hAnsi="宋体" w:eastAsia="宋体" w:cs="宋体"/>
                <w:sz w:val="24"/>
              </w:rPr>
            </w:pPr>
          </w:p>
        </w:tc>
        <w:tc>
          <w:tcPr>
            <w:tcW w:w="1448" w:type="dxa"/>
            <w:tcBorders>
              <w:tl2br w:val="nil"/>
              <w:tr2bl w:val="nil"/>
            </w:tcBorders>
            <w:shd w:val="clear" w:color="auto" w:fill="auto"/>
            <w:tcMar>
              <w:top w:w="120" w:type="dxa"/>
              <w:left w:w="120" w:type="dxa"/>
              <w:bottom w:w="120" w:type="dxa"/>
              <w:right w:w="120" w:type="dxa"/>
            </w:tcMar>
            <w:vAlign w:val="center"/>
          </w:tcPr>
          <w:p w14:paraId="2C61397C">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心理辅导室/童心驿站开放时长达标率</w:t>
            </w:r>
          </w:p>
        </w:tc>
        <w:tc>
          <w:tcPr>
            <w:tcW w:w="3408" w:type="dxa"/>
            <w:tcBorders>
              <w:tl2br w:val="nil"/>
              <w:tr2bl w:val="nil"/>
            </w:tcBorders>
            <w:shd w:val="clear" w:color="auto" w:fill="auto"/>
            <w:tcMar>
              <w:top w:w="120" w:type="dxa"/>
              <w:left w:w="120" w:type="dxa"/>
              <w:bottom w:w="120" w:type="dxa"/>
              <w:right w:w="120" w:type="dxa"/>
            </w:tcMar>
            <w:vAlign w:val="center"/>
          </w:tcPr>
          <w:p w14:paraId="783A1910">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每周开放≥5天，每日≥2小时，达标率≥90%</w:t>
            </w:r>
          </w:p>
        </w:tc>
        <w:tc>
          <w:tcPr>
            <w:tcW w:w="2428" w:type="dxa"/>
            <w:tcBorders>
              <w:tl2br w:val="nil"/>
              <w:tr2bl w:val="nil"/>
            </w:tcBorders>
            <w:shd w:val="clear" w:color="auto" w:fill="auto"/>
            <w:tcMar>
              <w:top w:w="120" w:type="dxa"/>
              <w:left w:w="120" w:type="dxa"/>
              <w:bottom w:w="120" w:type="dxa"/>
              <w:right w:w="120" w:type="dxa"/>
            </w:tcMar>
            <w:vAlign w:val="center"/>
          </w:tcPr>
          <w:p w14:paraId="08B5F172">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全部点位100%达标开放，心理课程每</w:t>
            </w:r>
            <w:r>
              <w:rPr>
                <w:rFonts w:hint="eastAsia" w:ascii="宋体" w:hAnsi="宋体" w:eastAsia="宋体" w:cs="宋体"/>
                <w:kern w:val="0"/>
                <w:sz w:val="24"/>
                <w:lang w:val="en-US" w:eastAsia="zh-CN"/>
              </w:rPr>
              <w:t>月</w:t>
            </w:r>
            <w:r>
              <w:rPr>
                <w:rFonts w:hint="eastAsia" w:ascii="宋体" w:hAnsi="宋体" w:eastAsia="宋体" w:cs="宋体"/>
                <w:kern w:val="0"/>
                <w:sz w:val="24"/>
              </w:rPr>
              <w:t>≥2课时</w:t>
            </w:r>
          </w:p>
        </w:tc>
        <w:tc>
          <w:tcPr>
            <w:tcW w:w="2444" w:type="dxa"/>
            <w:tcBorders>
              <w:tl2br w:val="nil"/>
              <w:tr2bl w:val="nil"/>
            </w:tcBorders>
            <w:shd w:val="clear" w:color="auto" w:fill="auto"/>
            <w:tcMar>
              <w:top w:w="120" w:type="dxa"/>
              <w:left w:w="120" w:type="dxa"/>
              <w:bottom w:w="120" w:type="dxa"/>
              <w:right w:w="120" w:type="dxa"/>
            </w:tcMar>
            <w:vAlign w:val="center"/>
          </w:tcPr>
          <w:p w14:paraId="105CAF2E">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亲情视频室全覆盖，留守儿童心理倾诉渠道全线畅通</w:t>
            </w:r>
          </w:p>
        </w:tc>
        <w:tc>
          <w:tcPr>
            <w:tcW w:w="1485" w:type="dxa"/>
            <w:tcBorders>
              <w:tl2br w:val="nil"/>
              <w:tr2bl w:val="nil"/>
            </w:tcBorders>
            <w:shd w:val="clear" w:color="auto" w:fill="auto"/>
            <w:tcMar>
              <w:top w:w="120" w:type="dxa"/>
              <w:left w:w="120" w:type="dxa"/>
              <w:bottom w:w="120" w:type="dxa"/>
              <w:right w:w="120" w:type="dxa"/>
            </w:tcMar>
            <w:vAlign w:val="center"/>
          </w:tcPr>
          <w:p w14:paraId="2A3CE017">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各农村学校</w:t>
            </w:r>
          </w:p>
        </w:tc>
        <w:tc>
          <w:tcPr>
            <w:tcW w:w="1951" w:type="dxa"/>
            <w:tcBorders>
              <w:tl2br w:val="nil"/>
              <w:tr2bl w:val="nil"/>
            </w:tcBorders>
            <w:shd w:val="clear" w:color="auto" w:fill="auto"/>
            <w:tcMar>
              <w:top w:w="120" w:type="dxa"/>
              <w:left w:w="120" w:type="dxa"/>
              <w:bottom w:w="120" w:type="dxa"/>
              <w:right w:w="120" w:type="dxa"/>
            </w:tcMar>
            <w:vAlign w:val="center"/>
          </w:tcPr>
          <w:p w14:paraId="52C4251C">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开放登记台账、课程表核查</w:t>
            </w:r>
          </w:p>
        </w:tc>
      </w:tr>
      <w:tr w14:paraId="72E30BA1">
        <w:tblPrEx>
          <w:tblLayout w:type="fixed"/>
        </w:tblPrEx>
        <w:trPr>
          <w:trHeight w:val="2229" w:hRule="atLeast"/>
          <w:jc w:val="center"/>
        </w:trPr>
        <w:tc>
          <w:tcPr>
            <w:tcW w:w="913" w:type="dxa"/>
            <w:vMerge w:val="restart"/>
            <w:tcBorders>
              <w:tl2br w:val="nil"/>
              <w:tr2bl w:val="nil"/>
            </w:tcBorders>
            <w:shd w:val="clear" w:color="auto" w:fill="auto"/>
            <w:tcMar>
              <w:top w:w="120" w:type="dxa"/>
              <w:left w:w="120" w:type="dxa"/>
              <w:bottom w:w="120" w:type="dxa"/>
              <w:right w:w="120" w:type="dxa"/>
            </w:tcMar>
            <w:vAlign w:val="center"/>
          </w:tcPr>
          <w:p w14:paraId="43BDF162">
            <w:pPr>
              <w:widowControl/>
              <w:adjustRightInd w:val="0"/>
              <w:snapToGrid w:val="0"/>
              <w:jc w:val="center"/>
              <w:textAlignment w:val="top"/>
              <w:rPr>
                <w:rFonts w:ascii="宋体" w:hAnsi="宋体" w:eastAsia="宋体" w:cs="宋体"/>
                <w:sz w:val="24"/>
              </w:rPr>
            </w:pPr>
            <w:r>
              <w:rPr>
                <w:rStyle w:val="6"/>
                <w:rFonts w:hint="eastAsia" w:ascii="宋体" w:hAnsi="宋体" w:eastAsia="宋体" w:cs="宋体"/>
                <w:kern w:val="0"/>
                <w:sz w:val="24"/>
              </w:rPr>
              <w:t>六、温情关爱行动</w:t>
            </w:r>
          </w:p>
        </w:tc>
        <w:tc>
          <w:tcPr>
            <w:tcW w:w="1448" w:type="dxa"/>
            <w:tcBorders>
              <w:tl2br w:val="nil"/>
              <w:tr2bl w:val="nil"/>
            </w:tcBorders>
            <w:shd w:val="clear" w:color="auto" w:fill="auto"/>
            <w:tcMar>
              <w:top w:w="120" w:type="dxa"/>
              <w:left w:w="120" w:type="dxa"/>
              <w:bottom w:w="120" w:type="dxa"/>
              <w:right w:w="120" w:type="dxa"/>
            </w:tcMar>
            <w:vAlign w:val="center"/>
          </w:tcPr>
          <w:p w14:paraId="120A735D">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农村四类重点儿童动态摸排建档覆盖率</w:t>
            </w:r>
          </w:p>
        </w:tc>
        <w:tc>
          <w:tcPr>
            <w:tcW w:w="3408" w:type="dxa"/>
            <w:tcBorders>
              <w:tl2br w:val="nil"/>
              <w:tr2bl w:val="nil"/>
            </w:tcBorders>
            <w:shd w:val="clear" w:color="auto" w:fill="auto"/>
            <w:tcMar>
              <w:top w:w="120" w:type="dxa"/>
              <w:left w:w="120" w:type="dxa"/>
              <w:bottom w:w="120" w:type="dxa"/>
              <w:right w:w="120" w:type="dxa"/>
            </w:tcMar>
            <w:vAlign w:val="center"/>
          </w:tcPr>
          <w:p w14:paraId="129DF55D">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每学期</w:t>
            </w:r>
            <w:r>
              <w:rPr>
                <w:rFonts w:hint="eastAsia" w:ascii="宋体" w:hAnsi="宋体" w:eastAsia="宋体" w:cs="宋体"/>
                <w:kern w:val="0"/>
                <w:sz w:val="24"/>
                <w:lang w:val="en-US" w:eastAsia="zh-CN"/>
              </w:rPr>
              <w:t>1轮</w:t>
            </w:r>
            <w:r>
              <w:rPr>
                <w:rFonts w:hint="eastAsia" w:ascii="宋体" w:hAnsi="宋体" w:eastAsia="宋体" w:cs="宋体"/>
                <w:kern w:val="0"/>
                <w:sz w:val="24"/>
              </w:rPr>
              <w:t>全覆盖摸排，一人一档建档率100%</w:t>
            </w:r>
          </w:p>
        </w:tc>
        <w:tc>
          <w:tcPr>
            <w:tcW w:w="2428" w:type="dxa"/>
            <w:tcBorders>
              <w:tl2br w:val="nil"/>
              <w:tr2bl w:val="nil"/>
            </w:tcBorders>
            <w:shd w:val="clear" w:color="auto" w:fill="auto"/>
            <w:tcMar>
              <w:top w:w="120" w:type="dxa"/>
              <w:left w:w="120" w:type="dxa"/>
              <w:bottom w:w="120" w:type="dxa"/>
              <w:right w:w="120" w:type="dxa"/>
            </w:tcMar>
            <w:vAlign w:val="center"/>
          </w:tcPr>
          <w:p w14:paraId="7CE7618B">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动态台账实时更新，信息更新及时率100%</w:t>
            </w:r>
          </w:p>
        </w:tc>
        <w:tc>
          <w:tcPr>
            <w:tcW w:w="2444" w:type="dxa"/>
            <w:tcBorders>
              <w:tl2br w:val="nil"/>
              <w:tr2bl w:val="nil"/>
            </w:tcBorders>
            <w:shd w:val="clear" w:color="auto" w:fill="auto"/>
            <w:tcMar>
              <w:top w:w="120" w:type="dxa"/>
              <w:left w:w="120" w:type="dxa"/>
              <w:bottom w:w="120" w:type="dxa"/>
              <w:right w:w="120" w:type="dxa"/>
            </w:tcMar>
            <w:vAlign w:val="center"/>
          </w:tcPr>
          <w:p w14:paraId="5F299993">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lang w:eastAsia="zh-CN"/>
              </w:rPr>
              <w:t>通过大</w:t>
            </w:r>
            <w:r>
              <w:rPr>
                <w:rFonts w:hint="eastAsia" w:ascii="宋体" w:hAnsi="宋体" w:eastAsia="宋体" w:cs="宋体"/>
                <w:kern w:val="0"/>
                <w:sz w:val="24"/>
              </w:rPr>
              <w:t>数据联动民政</w:t>
            </w:r>
            <w:r>
              <w:rPr>
                <w:rFonts w:hint="eastAsia" w:ascii="宋体" w:hAnsi="宋体" w:eastAsia="宋体" w:cs="宋体"/>
                <w:kern w:val="0"/>
                <w:sz w:val="24"/>
                <w:lang w:eastAsia="zh-CN"/>
              </w:rPr>
              <w:t>、妇联</w:t>
            </w:r>
            <w:r>
              <w:rPr>
                <w:rFonts w:hint="eastAsia" w:ascii="宋体" w:hAnsi="宋体" w:eastAsia="宋体" w:cs="宋体"/>
                <w:kern w:val="0"/>
                <w:sz w:val="24"/>
              </w:rPr>
              <w:t>数据，台账零差错</w:t>
            </w:r>
          </w:p>
        </w:tc>
        <w:tc>
          <w:tcPr>
            <w:tcW w:w="1485" w:type="dxa"/>
            <w:tcBorders>
              <w:tl2br w:val="nil"/>
              <w:tr2bl w:val="nil"/>
            </w:tcBorders>
            <w:shd w:val="clear" w:color="auto" w:fill="auto"/>
            <w:tcMar>
              <w:top w:w="120" w:type="dxa"/>
              <w:left w:w="120" w:type="dxa"/>
              <w:bottom w:w="120" w:type="dxa"/>
              <w:right w:w="120" w:type="dxa"/>
            </w:tcMar>
            <w:vAlign w:val="center"/>
          </w:tcPr>
          <w:p w14:paraId="2B3A5AEF">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lang w:val="en-US" w:eastAsia="zh-CN"/>
              </w:rPr>
              <w:t>农村各</w:t>
            </w:r>
            <w:r>
              <w:rPr>
                <w:rFonts w:hint="eastAsia" w:ascii="宋体" w:hAnsi="宋体" w:eastAsia="宋体" w:cs="宋体"/>
                <w:kern w:val="0"/>
                <w:sz w:val="24"/>
              </w:rPr>
              <w:t>校</w:t>
            </w:r>
            <w:r>
              <w:rPr>
                <w:rFonts w:hint="eastAsia" w:ascii="宋体" w:hAnsi="宋体" w:eastAsia="宋体" w:cs="宋体"/>
                <w:kern w:val="0"/>
                <w:sz w:val="24"/>
                <w:lang w:eastAsia="zh-CN"/>
              </w:rPr>
              <w:t>，</w:t>
            </w:r>
            <w:r>
              <w:rPr>
                <w:rFonts w:hint="eastAsia" w:ascii="宋体" w:hAnsi="宋体" w:eastAsia="宋体" w:cs="宋体"/>
                <w:kern w:val="0"/>
                <w:sz w:val="24"/>
              </w:rPr>
              <w:t>乡镇、民政、妇联</w:t>
            </w:r>
          </w:p>
        </w:tc>
        <w:tc>
          <w:tcPr>
            <w:tcW w:w="1951" w:type="dxa"/>
            <w:tcBorders>
              <w:tl2br w:val="nil"/>
              <w:tr2bl w:val="nil"/>
            </w:tcBorders>
            <w:shd w:val="clear" w:color="auto" w:fill="auto"/>
            <w:tcMar>
              <w:top w:w="120" w:type="dxa"/>
              <w:left w:w="120" w:type="dxa"/>
              <w:bottom w:w="120" w:type="dxa"/>
              <w:right w:w="120" w:type="dxa"/>
            </w:tcMar>
            <w:vAlign w:val="center"/>
          </w:tcPr>
          <w:p w14:paraId="50A9E0DB">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帮扶台账、信息比对报表</w:t>
            </w:r>
          </w:p>
        </w:tc>
      </w:tr>
      <w:tr w14:paraId="0FB740DE">
        <w:tblPrEx>
          <w:tblLayout w:type="fixed"/>
        </w:tblPrEx>
        <w:trPr>
          <w:trHeight w:val="1985" w:hRule="atLeast"/>
          <w:jc w:val="center"/>
        </w:trPr>
        <w:tc>
          <w:tcPr>
            <w:tcW w:w="913" w:type="dxa"/>
            <w:vMerge w:val="continue"/>
            <w:tcBorders>
              <w:tl2br w:val="nil"/>
              <w:tr2bl w:val="nil"/>
            </w:tcBorders>
            <w:shd w:val="clear" w:color="auto" w:fill="auto"/>
            <w:tcMar>
              <w:top w:w="120" w:type="dxa"/>
              <w:left w:w="120" w:type="dxa"/>
              <w:bottom w:w="120" w:type="dxa"/>
              <w:right w:w="120" w:type="dxa"/>
            </w:tcMar>
            <w:vAlign w:val="center"/>
          </w:tcPr>
          <w:p w14:paraId="3C9BBEDC">
            <w:pPr>
              <w:widowControl/>
              <w:adjustRightInd w:val="0"/>
              <w:snapToGrid w:val="0"/>
              <w:jc w:val="center"/>
              <w:rPr>
                <w:rFonts w:ascii="宋体" w:hAnsi="宋体" w:eastAsia="宋体" w:cs="宋体"/>
                <w:sz w:val="24"/>
              </w:rPr>
            </w:pPr>
          </w:p>
        </w:tc>
        <w:tc>
          <w:tcPr>
            <w:tcW w:w="1448" w:type="dxa"/>
            <w:tcBorders>
              <w:tl2br w:val="nil"/>
              <w:tr2bl w:val="nil"/>
            </w:tcBorders>
            <w:shd w:val="clear" w:color="auto" w:fill="auto"/>
            <w:tcMar>
              <w:top w:w="120" w:type="dxa"/>
              <w:left w:w="120" w:type="dxa"/>
              <w:bottom w:w="120" w:type="dxa"/>
              <w:right w:w="120" w:type="dxa"/>
            </w:tcMar>
            <w:vAlign w:val="center"/>
          </w:tcPr>
          <w:p w14:paraId="366A6091">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重点儿童一对一结对帮扶覆盖率</w:t>
            </w:r>
          </w:p>
        </w:tc>
        <w:tc>
          <w:tcPr>
            <w:tcW w:w="3408" w:type="dxa"/>
            <w:tcBorders>
              <w:tl2br w:val="nil"/>
              <w:tr2bl w:val="nil"/>
            </w:tcBorders>
            <w:shd w:val="clear" w:color="auto" w:fill="auto"/>
            <w:tcMar>
              <w:top w:w="120" w:type="dxa"/>
              <w:left w:w="120" w:type="dxa"/>
              <w:bottom w:w="120" w:type="dxa"/>
              <w:right w:w="120" w:type="dxa"/>
            </w:tcMar>
            <w:vAlign w:val="center"/>
          </w:tcPr>
          <w:p w14:paraId="09125D73">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结对帮扶全覆盖，帮扶活动每</w:t>
            </w:r>
            <w:r>
              <w:rPr>
                <w:rFonts w:hint="eastAsia" w:ascii="宋体" w:hAnsi="宋体" w:eastAsia="宋体" w:cs="宋体"/>
                <w:kern w:val="0"/>
                <w:sz w:val="24"/>
                <w:lang w:val="en-US" w:eastAsia="zh-CN"/>
              </w:rPr>
              <w:t>学期</w:t>
            </w:r>
            <w:r>
              <w:rPr>
                <w:rFonts w:hint="eastAsia" w:ascii="宋体" w:hAnsi="宋体" w:eastAsia="宋体" w:cs="宋体"/>
                <w:kern w:val="0"/>
                <w:sz w:val="24"/>
              </w:rPr>
              <w:t>不少于1次</w:t>
            </w:r>
          </w:p>
        </w:tc>
        <w:tc>
          <w:tcPr>
            <w:tcW w:w="2428" w:type="dxa"/>
            <w:tcBorders>
              <w:tl2br w:val="nil"/>
              <w:tr2bl w:val="nil"/>
            </w:tcBorders>
            <w:shd w:val="clear" w:color="auto" w:fill="auto"/>
            <w:tcMar>
              <w:top w:w="120" w:type="dxa"/>
              <w:left w:w="120" w:type="dxa"/>
              <w:bottom w:w="120" w:type="dxa"/>
              <w:right w:w="120" w:type="dxa"/>
            </w:tcMar>
            <w:vAlign w:val="center"/>
          </w:tcPr>
          <w:p w14:paraId="3A925A9D">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帮扶过程留痕完整，个性化帮扶方案100%配齐</w:t>
            </w:r>
          </w:p>
        </w:tc>
        <w:tc>
          <w:tcPr>
            <w:tcW w:w="2444" w:type="dxa"/>
            <w:tcBorders>
              <w:tl2br w:val="nil"/>
              <w:tr2bl w:val="nil"/>
            </w:tcBorders>
            <w:shd w:val="clear" w:color="auto" w:fill="auto"/>
            <w:tcMar>
              <w:top w:w="120" w:type="dxa"/>
              <w:left w:w="120" w:type="dxa"/>
              <w:bottom w:w="120" w:type="dxa"/>
              <w:right w:w="120" w:type="dxa"/>
            </w:tcMar>
            <w:vAlign w:val="center"/>
          </w:tcPr>
          <w:p w14:paraId="21B244A1">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亲情陪伴、心理疏导、学业辅导一体化长效帮扶</w:t>
            </w:r>
          </w:p>
        </w:tc>
        <w:tc>
          <w:tcPr>
            <w:tcW w:w="1485" w:type="dxa"/>
            <w:tcBorders>
              <w:tl2br w:val="nil"/>
              <w:tr2bl w:val="nil"/>
            </w:tcBorders>
            <w:shd w:val="clear" w:color="auto" w:fill="auto"/>
            <w:tcMar>
              <w:top w:w="120" w:type="dxa"/>
              <w:left w:w="120" w:type="dxa"/>
              <w:bottom w:w="120" w:type="dxa"/>
              <w:right w:w="120" w:type="dxa"/>
            </w:tcMar>
            <w:vAlign w:val="center"/>
          </w:tcPr>
          <w:p w14:paraId="4FE05279">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lang w:val="en-US" w:eastAsia="zh-CN"/>
              </w:rPr>
              <w:t>市（县）</w:t>
            </w:r>
            <w:r>
              <w:rPr>
                <w:rFonts w:hint="eastAsia" w:ascii="宋体" w:hAnsi="宋体" w:eastAsia="宋体" w:cs="宋体"/>
                <w:kern w:val="0"/>
                <w:sz w:val="24"/>
              </w:rPr>
              <w:t>团委、妇联、关工委</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农村</w:t>
            </w:r>
            <w:r>
              <w:rPr>
                <w:rFonts w:hint="eastAsia" w:ascii="宋体" w:hAnsi="宋体" w:eastAsia="宋体" w:cs="宋体"/>
                <w:kern w:val="0"/>
                <w:sz w:val="24"/>
              </w:rPr>
              <w:t>各校</w:t>
            </w:r>
          </w:p>
        </w:tc>
        <w:tc>
          <w:tcPr>
            <w:tcW w:w="1951" w:type="dxa"/>
            <w:tcBorders>
              <w:tl2br w:val="nil"/>
              <w:tr2bl w:val="nil"/>
            </w:tcBorders>
            <w:shd w:val="clear" w:color="auto" w:fill="auto"/>
            <w:tcMar>
              <w:top w:w="120" w:type="dxa"/>
              <w:left w:w="120" w:type="dxa"/>
              <w:bottom w:w="120" w:type="dxa"/>
              <w:right w:w="120" w:type="dxa"/>
            </w:tcMar>
            <w:vAlign w:val="center"/>
          </w:tcPr>
          <w:p w14:paraId="3EC7F86C">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帮扶记录、谈心台账、活动资料</w:t>
            </w:r>
          </w:p>
        </w:tc>
      </w:tr>
      <w:tr w14:paraId="665022C3">
        <w:tblPrEx>
          <w:tblLayout w:type="fixed"/>
        </w:tblPrEx>
        <w:trPr>
          <w:trHeight w:val="1959" w:hRule="atLeast"/>
          <w:jc w:val="center"/>
        </w:trPr>
        <w:tc>
          <w:tcPr>
            <w:tcW w:w="913" w:type="dxa"/>
            <w:vMerge w:val="continue"/>
            <w:tcBorders>
              <w:tl2br w:val="nil"/>
              <w:tr2bl w:val="nil"/>
            </w:tcBorders>
            <w:shd w:val="clear" w:color="auto" w:fill="auto"/>
            <w:tcMar>
              <w:top w:w="120" w:type="dxa"/>
              <w:left w:w="120" w:type="dxa"/>
              <w:bottom w:w="120" w:type="dxa"/>
              <w:right w:w="120" w:type="dxa"/>
            </w:tcMar>
            <w:vAlign w:val="center"/>
          </w:tcPr>
          <w:p w14:paraId="122775BE">
            <w:pPr>
              <w:widowControl/>
              <w:adjustRightInd w:val="0"/>
              <w:snapToGrid w:val="0"/>
              <w:jc w:val="center"/>
              <w:rPr>
                <w:rFonts w:ascii="宋体" w:hAnsi="宋体" w:eastAsia="宋体" w:cs="宋体"/>
                <w:sz w:val="24"/>
              </w:rPr>
            </w:pPr>
          </w:p>
        </w:tc>
        <w:tc>
          <w:tcPr>
            <w:tcW w:w="1448" w:type="dxa"/>
            <w:tcBorders>
              <w:tl2br w:val="nil"/>
              <w:tr2bl w:val="nil"/>
            </w:tcBorders>
            <w:shd w:val="clear" w:color="auto" w:fill="auto"/>
            <w:tcMar>
              <w:top w:w="120" w:type="dxa"/>
              <w:left w:w="120" w:type="dxa"/>
              <w:bottom w:w="120" w:type="dxa"/>
              <w:right w:w="120" w:type="dxa"/>
            </w:tcMar>
            <w:vAlign w:val="center"/>
          </w:tcPr>
          <w:p w14:paraId="364CEA56">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外出务工家长亲情沟通指导覆盖率</w:t>
            </w:r>
          </w:p>
        </w:tc>
        <w:tc>
          <w:tcPr>
            <w:tcW w:w="3408" w:type="dxa"/>
            <w:tcBorders>
              <w:tl2br w:val="nil"/>
              <w:tr2bl w:val="nil"/>
            </w:tcBorders>
            <w:shd w:val="clear" w:color="auto" w:fill="auto"/>
            <w:tcMar>
              <w:top w:w="120" w:type="dxa"/>
              <w:left w:w="120" w:type="dxa"/>
              <w:bottom w:w="120" w:type="dxa"/>
              <w:right w:w="120" w:type="dxa"/>
            </w:tcMar>
            <w:vAlign w:val="center"/>
          </w:tcPr>
          <w:p w14:paraId="14A68D5C">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重点家庭指导覆盖率≥90%</w:t>
            </w:r>
          </w:p>
        </w:tc>
        <w:tc>
          <w:tcPr>
            <w:tcW w:w="2428" w:type="dxa"/>
            <w:tcBorders>
              <w:tl2br w:val="nil"/>
              <w:tr2bl w:val="nil"/>
            </w:tcBorders>
            <w:shd w:val="clear" w:color="auto" w:fill="auto"/>
            <w:tcMar>
              <w:top w:w="120" w:type="dxa"/>
              <w:left w:w="120" w:type="dxa"/>
              <w:bottom w:w="120" w:type="dxa"/>
              <w:right w:w="120" w:type="dxa"/>
            </w:tcMar>
            <w:vAlign w:val="center"/>
          </w:tcPr>
          <w:p w14:paraId="237EBC7E">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全部留守儿童家庭</w:t>
            </w:r>
            <w:r>
              <w:rPr>
                <w:rFonts w:hint="eastAsia" w:ascii="宋体" w:hAnsi="宋体" w:eastAsia="宋体" w:cs="宋体"/>
                <w:kern w:val="0"/>
                <w:sz w:val="24"/>
                <w:lang w:eastAsia="zh-CN"/>
              </w:rPr>
              <w:t>指导覆盖率达100%</w:t>
            </w:r>
          </w:p>
        </w:tc>
        <w:tc>
          <w:tcPr>
            <w:tcW w:w="2444" w:type="dxa"/>
            <w:tcBorders>
              <w:tl2br w:val="nil"/>
              <w:tr2bl w:val="nil"/>
            </w:tcBorders>
            <w:shd w:val="clear" w:color="auto" w:fill="auto"/>
            <w:tcMar>
              <w:top w:w="120" w:type="dxa"/>
              <w:left w:w="120" w:type="dxa"/>
              <w:bottom w:w="120" w:type="dxa"/>
              <w:right w:w="120" w:type="dxa"/>
            </w:tcMar>
            <w:vAlign w:val="center"/>
          </w:tcPr>
          <w:p w14:paraId="3C4E5E04">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常态化推送亲子沟通科普内容，家长监护能力稳步提升</w:t>
            </w:r>
          </w:p>
        </w:tc>
        <w:tc>
          <w:tcPr>
            <w:tcW w:w="1485" w:type="dxa"/>
            <w:tcBorders>
              <w:tl2br w:val="nil"/>
              <w:tr2bl w:val="nil"/>
            </w:tcBorders>
            <w:shd w:val="clear" w:color="auto" w:fill="auto"/>
            <w:tcMar>
              <w:top w:w="120" w:type="dxa"/>
              <w:left w:w="120" w:type="dxa"/>
              <w:bottom w:w="120" w:type="dxa"/>
              <w:right w:w="120" w:type="dxa"/>
            </w:tcMar>
            <w:vAlign w:val="center"/>
          </w:tcPr>
          <w:p w14:paraId="79DC9D80">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各</w:t>
            </w:r>
            <w:r>
              <w:rPr>
                <w:rFonts w:hint="eastAsia" w:ascii="宋体" w:hAnsi="宋体" w:eastAsia="宋体" w:cs="宋体"/>
                <w:kern w:val="0"/>
                <w:sz w:val="24"/>
                <w:lang w:val="en-US" w:eastAsia="zh-CN"/>
              </w:rPr>
              <w:t>农村</w:t>
            </w:r>
            <w:r>
              <w:rPr>
                <w:rFonts w:hint="eastAsia" w:ascii="宋体" w:hAnsi="宋体" w:eastAsia="宋体" w:cs="宋体"/>
                <w:kern w:val="0"/>
                <w:sz w:val="24"/>
              </w:rPr>
              <w:t>学校</w:t>
            </w:r>
          </w:p>
        </w:tc>
        <w:tc>
          <w:tcPr>
            <w:tcW w:w="1951" w:type="dxa"/>
            <w:tcBorders>
              <w:tl2br w:val="nil"/>
              <w:tr2bl w:val="nil"/>
            </w:tcBorders>
            <w:shd w:val="clear" w:color="auto" w:fill="auto"/>
            <w:tcMar>
              <w:top w:w="120" w:type="dxa"/>
              <w:left w:w="120" w:type="dxa"/>
              <w:bottom w:w="120" w:type="dxa"/>
              <w:right w:w="120" w:type="dxa"/>
            </w:tcMar>
            <w:vAlign w:val="center"/>
          </w:tcPr>
          <w:p w14:paraId="2D2E7FA7">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推送记录、家长回执问卷</w:t>
            </w:r>
          </w:p>
        </w:tc>
      </w:tr>
      <w:tr w14:paraId="0C961C61">
        <w:tblPrEx>
          <w:tblLayout w:type="fixed"/>
        </w:tblPrEx>
        <w:trPr>
          <w:trHeight w:val="1870" w:hRule="atLeast"/>
          <w:jc w:val="center"/>
        </w:trPr>
        <w:tc>
          <w:tcPr>
            <w:tcW w:w="913" w:type="dxa"/>
            <w:vMerge w:val="restart"/>
            <w:tcBorders>
              <w:tl2br w:val="nil"/>
              <w:tr2bl w:val="nil"/>
            </w:tcBorders>
            <w:shd w:val="clear" w:color="auto" w:fill="auto"/>
            <w:tcMar>
              <w:top w:w="120" w:type="dxa"/>
              <w:left w:w="120" w:type="dxa"/>
              <w:bottom w:w="120" w:type="dxa"/>
              <w:right w:w="120" w:type="dxa"/>
            </w:tcMar>
            <w:vAlign w:val="center"/>
          </w:tcPr>
          <w:p w14:paraId="1E53ADD8">
            <w:pPr>
              <w:widowControl/>
              <w:adjustRightInd w:val="0"/>
              <w:snapToGrid w:val="0"/>
              <w:jc w:val="center"/>
              <w:textAlignment w:val="top"/>
              <w:rPr>
                <w:rFonts w:ascii="宋体" w:hAnsi="宋体" w:eastAsia="宋体" w:cs="宋体"/>
                <w:sz w:val="24"/>
              </w:rPr>
            </w:pPr>
            <w:r>
              <w:rPr>
                <w:rStyle w:val="6"/>
                <w:rFonts w:hint="eastAsia" w:ascii="宋体" w:hAnsi="宋体" w:eastAsia="宋体" w:cs="宋体"/>
                <w:kern w:val="0"/>
                <w:sz w:val="24"/>
              </w:rPr>
              <w:t>七、环境育人行动</w:t>
            </w:r>
          </w:p>
        </w:tc>
        <w:tc>
          <w:tcPr>
            <w:tcW w:w="1448" w:type="dxa"/>
            <w:tcBorders>
              <w:tl2br w:val="nil"/>
              <w:tr2bl w:val="nil"/>
            </w:tcBorders>
            <w:shd w:val="clear" w:color="auto" w:fill="auto"/>
            <w:tcMar>
              <w:top w:w="120" w:type="dxa"/>
              <w:left w:w="120" w:type="dxa"/>
              <w:bottom w:w="120" w:type="dxa"/>
              <w:right w:w="120" w:type="dxa"/>
            </w:tcMar>
            <w:vAlign w:val="center"/>
          </w:tcPr>
          <w:p w14:paraId="78294D4D">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健康副校长到校指导频次</w:t>
            </w:r>
          </w:p>
        </w:tc>
        <w:tc>
          <w:tcPr>
            <w:tcW w:w="3408" w:type="dxa"/>
            <w:tcBorders>
              <w:tl2br w:val="nil"/>
              <w:tr2bl w:val="nil"/>
            </w:tcBorders>
            <w:shd w:val="clear" w:color="auto" w:fill="auto"/>
            <w:tcMar>
              <w:top w:w="120" w:type="dxa"/>
              <w:left w:w="120" w:type="dxa"/>
              <w:bottom w:w="120" w:type="dxa"/>
              <w:right w:w="120" w:type="dxa"/>
            </w:tcMar>
            <w:vAlign w:val="center"/>
          </w:tcPr>
          <w:p w14:paraId="7D01F4E3">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全覆盖履职，每学期到校专项指导不少于2次</w:t>
            </w:r>
          </w:p>
        </w:tc>
        <w:tc>
          <w:tcPr>
            <w:tcW w:w="2428" w:type="dxa"/>
            <w:tcBorders>
              <w:tl2br w:val="nil"/>
              <w:tr2bl w:val="nil"/>
            </w:tcBorders>
            <w:shd w:val="clear" w:color="auto" w:fill="auto"/>
            <w:tcMar>
              <w:top w:w="120" w:type="dxa"/>
              <w:left w:w="120" w:type="dxa"/>
              <w:bottom w:w="120" w:type="dxa"/>
              <w:right w:w="120" w:type="dxa"/>
            </w:tcMar>
            <w:vAlign w:val="center"/>
          </w:tcPr>
          <w:p w14:paraId="2F2FEF2D">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保持频次，新增传染病防控、急救专项指导内容</w:t>
            </w:r>
          </w:p>
        </w:tc>
        <w:tc>
          <w:tcPr>
            <w:tcW w:w="2444" w:type="dxa"/>
            <w:tcBorders>
              <w:tl2br w:val="nil"/>
              <w:tr2bl w:val="nil"/>
            </w:tcBorders>
            <w:shd w:val="clear" w:color="auto" w:fill="auto"/>
            <w:tcMar>
              <w:top w:w="120" w:type="dxa"/>
              <w:left w:w="120" w:type="dxa"/>
              <w:bottom w:w="120" w:type="dxa"/>
              <w:right w:w="120" w:type="dxa"/>
            </w:tcMar>
            <w:vAlign w:val="center"/>
          </w:tcPr>
          <w:p w14:paraId="55054FA7">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医教协同例会每学年不少于2次，问题闭环整改</w:t>
            </w:r>
          </w:p>
        </w:tc>
        <w:tc>
          <w:tcPr>
            <w:tcW w:w="1485" w:type="dxa"/>
            <w:tcBorders>
              <w:tl2br w:val="nil"/>
              <w:tr2bl w:val="nil"/>
            </w:tcBorders>
            <w:shd w:val="clear" w:color="auto" w:fill="auto"/>
            <w:tcMar>
              <w:top w:w="120" w:type="dxa"/>
              <w:left w:w="120" w:type="dxa"/>
              <w:bottom w:w="120" w:type="dxa"/>
              <w:right w:w="120" w:type="dxa"/>
            </w:tcMar>
            <w:vAlign w:val="center"/>
          </w:tcPr>
          <w:p w14:paraId="44FFAA32">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lang w:val="en-US" w:eastAsia="zh-CN"/>
              </w:rPr>
              <w:t>市（县）</w:t>
            </w:r>
            <w:r>
              <w:rPr>
                <w:rFonts w:hint="eastAsia" w:ascii="宋体" w:hAnsi="宋体" w:eastAsia="宋体" w:cs="宋体"/>
                <w:kern w:val="0"/>
                <w:sz w:val="24"/>
              </w:rPr>
              <w:t>教体、卫健部门，健康副校长</w:t>
            </w:r>
          </w:p>
        </w:tc>
        <w:tc>
          <w:tcPr>
            <w:tcW w:w="1951" w:type="dxa"/>
            <w:tcBorders>
              <w:tl2br w:val="nil"/>
              <w:tr2bl w:val="nil"/>
            </w:tcBorders>
            <w:shd w:val="clear" w:color="auto" w:fill="auto"/>
            <w:tcMar>
              <w:top w:w="120" w:type="dxa"/>
              <w:left w:w="120" w:type="dxa"/>
              <w:bottom w:w="120" w:type="dxa"/>
              <w:right w:w="120" w:type="dxa"/>
            </w:tcMar>
            <w:vAlign w:val="center"/>
          </w:tcPr>
          <w:p w14:paraId="2B2051BE">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到校指导记录、例会纪要</w:t>
            </w:r>
          </w:p>
        </w:tc>
      </w:tr>
      <w:tr w14:paraId="06C9D256">
        <w:tblPrEx>
          <w:tblLayout w:type="fixed"/>
        </w:tblPrEx>
        <w:trPr>
          <w:trHeight w:val="1819" w:hRule="atLeast"/>
          <w:jc w:val="center"/>
        </w:trPr>
        <w:tc>
          <w:tcPr>
            <w:tcW w:w="913" w:type="dxa"/>
            <w:vMerge w:val="continue"/>
            <w:tcBorders>
              <w:tl2br w:val="nil"/>
              <w:tr2bl w:val="nil"/>
            </w:tcBorders>
            <w:shd w:val="clear" w:color="auto" w:fill="auto"/>
            <w:tcMar>
              <w:top w:w="120" w:type="dxa"/>
              <w:left w:w="120" w:type="dxa"/>
              <w:bottom w:w="120" w:type="dxa"/>
              <w:right w:w="120" w:type="dxa"/>
            </w:tcMar>
            <w:vAlign w:val="center"/>
          </w:tcPr>
          <w:p w14:paraId="642A1113">
            <w:pPr>
              <w:widowControl/>
              <w:adjustRightInd w:val="0"/>
              <w:snapToGrid w:val="0"/>
              <w:jc w:val="center"/>
              <w:rPr>
                <w:rFonts w:ascii="宋体" w:hAnsi="宋体" w:eastAsia="宋体" w:cs="宋体"/>
                <w:sz w:val="24"/>
              </w:rPr>
            </w:pPr>
          </w:p>
        </w:tc>
        <w:tc>
          <w:tcPr>
            <w:tcW w:w="1448" w:type="dxa"/>
            <w:tcBorders>
              <w:tl2br w:val="nil"/>
              <w:tr2bl w:val="nil"/>
            </w:tcBorders>
            <w:shd w:val="clear" w:color="auto" w:fill="auto"/>
            <w:tcMar>
              <w:top w:w="120" w:type="dxa"/>
              <w:left w:w="120" w:type="dxa"/>
              <w:bottom w:w="120" w:type="dxa"/>
              <w:right w:w="120" w:type="dxa"/>
            </w:tcMar>
            <w:vAlign w:val="center"/>
          </w:tcPr>
          <w:p w14:paraId="7E6FA088">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校园周边环境专项整治频次</w:t>
            </w:r>
          </w:p>
        </w:tc>
        <w:tc>
          <w:tcPr>
            <w:tcW w:w="3408" w:type="dxa"/>
            <w:tcBorders>
              <w:tl2br w:val="nil"/>
              <w:tr2bl w:val="nil"/>
            </w:tcBorders>
            <w:shd w:val="clear" w:color="auto" w:fill="auto"/>
            <w:tcMar>
              <w:top w:w="120" w:type="dxa"/>
              <w:left w:w="120" w:type="dxa"/>
              <w:bottom w:w="120" w:type="dxa"/>
              <w:right w:w="120" w:type="dxa"/>
            </w:tcMar>
            <w:vAlign w:val="center"/>
          </w:tcPr>
          <w:p w14:paraId="42D968D2">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每季度联合专项整治不少于1次</w:t>
            </w:r>
          </w:p>
        </w:tc>
        <w:tc>
          <w:tcPr>
            <w:tcW w:w="2428" w:type="dxa"/>
            <w:tcBorders>
              <w:tl2br w:val="nil"/>
              <w:tr2bl w:val="nil"/>
            </w:tcBorders>
            <w:shd w:val="clear" w:color="auto" w:fill="auto"/>
            <w:tcMar>
              <w:top w:w="120" w:type="dxa"/>
              <w:left w:w="120" w:type="dxa"/>
              <w:bottom w:w="120" w:type="dxa"/>
              <w:right w:w="120" w:type="dxa"/>
            </w:tcMar>
            <w:vAlign w:val="center"/>
          </w:tcPr>
          <w:p w14:paraId="42AEA0A5">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常态化巡查+季度专项整治，违规问题整改率100%</w:t>
            </w:r>
          </w:p>
        </w:tc>
        <w:tc>
          <w:tcPr>
            <w:tcW w:w="2444" w:type="dxa"/>
            <w:tcBorders>
              <w:tl2br w:val="nil"/>
              <w:tr2bl w:val="nil"/>
            </w:tcBorders>
            <w:shd w:val="clear" w:color="auto" w:fill="auto"/>
            <w:tcMar>
              <w:top w:w="120" w:type="dxa"/>
              <w:left w:w="120" w:type="dxa"/>
              <w:bottom w:w="120" w:type="dxa"/>
              <w:right w:w="120" w:type="dxa"/>
            </w:tcMar>
            <w:vAlign w:val="center"/>
          </w:tcPr>
          <w:p w14:paraId="2F36B356">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建立长效联防机制，校园周边健康隐患动态清零</w:t>
            </w:r>
          </w:p>
        </w:tc>
        <w:tc>
          <w:tcPr>
            <w:tcW w:w="1485" w:type="dxa"/>
            <w:tcBorders>
              <w:tl2br w:val="nil"/>
              <w:tr2bl w:val="nil"/>
            </w:tcBorders>
            <w:shd w:val="clear" w:color="auto" w:fill="auto"/>
            <w:tcMar>
              <w:top w:w="120" w:type="dxa"/>
              <w:left w:w="120" w:type="dxa"/>
              <w:bottom w:w="120" w:type="dxa"/>
              <w:right w:w="120" w:type="dxa"/>
            </w:tcMar>
            <w:vAlign w:val="center"/>
          </w:tcPr>
          <w:p w14:paraId="477D13F7">
            <w:pPr>
              <w:widowControl/>
              <w:adjustRightInd w:val="0"/>
              <w:snapToGrid w:val="0"/>
              <w:jc w:val="center"/>
              <w:textAlignment w:val="top"/>
              <w:rPr>
                <w:rFonts w:hint="eastAsia" w:ascii="宋体" w:hAnsi="宋体" w:eastAsia="宋体" w:cs="宋体"/>
                <w:sz w:val="24"/>
                <w:lang w:val="en-US" w:eastAsia="zh-CN"/>
              </w:rPr>
            </w:pPr>
            <w:r>
              <w:rPr>
                <w:rFonts w:hint="eastAsia" w:ascii="宋体" w:hAnsi="宋体" w:eastAsia="宋体" w:cs="宋体"/>
                <w:kern w:val="0"/>
                <w:sz w:val="24"/>
                <w:lang w:val="en-US" w:eastAsia="zh-CN"/>
              </w:rPr>
              <w:t>市（县）</w:t>
            </w:r>
            <w:r>
              <w:rPr>
                <w:rFonts w:hint="eastAsia" w:ascii="宋体" w:hAnsi="宋体" w:eastAsia="宋体" w:cs="宋体"/>
                <w:kern w:val="0"/>
                <w:sz w:val="24"/>
              </w:rPr>
              <w:t>教体、市监、公安、</w:t>
            </w:r>
            <w:r>
              <w:rPr>
                <w:rFonts w:hint="eastAsia" w:ascii="宋体" w:hAnsi="宋体" w:eastAsia="宋体" w:cs="宋体"/>
                <w:kern w:val="0"/>
                <w:sz w:val="24"/>
                <w:lang w:eastAsia="zh-CN"/>
              </w:rPr>
              <w:t>宣传部门</w:t>
            </w:r>
          </w:p>
        </w:tc>
        <w:tc>
          <w:tcPr>
            <w:tcW w:w="1951" w:type="dxa"/>
            <w:tcBorders>
              <w:tl2br w:val="nil"/>
              <w:tr2bl w:val="nil"/>
            </w:tcBorders>
            <w:shd w:val="clear" w:color="auto" w:fill="auto"/>
            <w:tcMar>
              <w:top w:w="120" w:type="dxa"/>
              <w:left w:w="120" w:type="dxa"/>
              <w:bottom w:w="120" w:type="dxa"/>
              <w:right w:w="120" w:type="dxa"/>
            </w:tcMar>
            <w:vAlign w:val="center"/>
          </w:tcPr>
          <w:p w14:paraId="39B606D9">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整治台账、执法文书、复查记录</w:t>
            </w:r>
          </w:p>
        </w:tc>
      </w:tr>
      <w:tr w14:paraId="6077ACFC">
        <w:tblPrEx>
          <w:tblLayout w:type="fixed"/>
        </w:tblPrEx>
        <w:trPr>
          <w:trHeight w:val="2443" w:hRule="atLeast"/>
          <w:jc w:val="center"/>
        </w:trPr>
        <w:tc>
          <w:tcPr>
            <w:tcW w:w="913" w:type="dxa"/>
            <w:vMerge w:val="continue"/>
            <w:tcBorders>
              <w:tl2br w:val="nil"/>
              <w:tr2bl w:val="nil"/>
            </w:tcBorders>
            <w:shd w:val="clear" w:color="auto" w:fill="auto"/>
            <w:tcMar>
              <w:top w:w="120" w:type="dxa"/>
              <w:left w:w="120" w:type="dxa"/>
              <w:bottom w:w="120" w:type="dxa"/>
              <w:right w:w="120" w:type="dxa"/>
            </w:tcMar>
            <w:vAlign w:val="center"/>
          </w:tcPr>
          <w:p w14:paraId="62DE3E8B">
            <w:pPr>
              <w:widowControl/>
              <w:adjustRightInd w:val="0"/>
              <w:snapToGrid w:val="0"/>
              <w:jc w:val="center"/>
              <w:rPr>
                <w:rFonts w:ascii="宋体" w:hAnsi="宋体" w:eastAsia="宋体" w:cs="宋体"/>
                <w:sz w:val="24"/>
              </w:rPr>
            </w:pPr>
          </w:p>
        </w:tc>
        <w:tc>
          <w:tcPr>
            <w:tcW w:w="1448" w:type="dxa"/>
            <w:tcBorders>
              <w:tl2br w:val="nil"/>
              <w:tr2bl w:val="nil"/>
            </w:tcBorders>
            <w:shd w:val="clear" w:color="auto" w:fill="auto"/>
            <w:tcMar>
              <w:top w:w="120" w:type="dxa"/>
              <w:left w:w="120" w:type="dxa"/>
              <w:bottom w:w="120" w:type="dxa"/>
              <w:right w:w="120" w:type="dxa"/>
            </w:tcMar>
            <w:vAlign w:val="center"/>
          </w:tcPr>
          <w:p w14:paraId="206BCE7C">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家校社教联体建设</w:t>
            </w:r>
            <w:r>
              <w:rPr>
                <w:rFonts w:hint="eastAsia" w:ascii="宋体" w:hAnsi="宋体" w:eastAsia="宋体" w:cs="宋体"/>
                <w:kern w:val="0"/>
                <w:sz w:val="24"/>
                <w:lang w:eastAsia="zh-CN"/>
              </w:rPr>
              <w:t>与</w:t>
            </w:r>
            <w:r>
              <w:rPr>
                <w:rFonts w:hint="eastAsia" w:ascii="宋体" w:hAnsi="宋体" w:eastAsia="宋体" w:cs="宋体"/>
                <w:kern w:val="0"/>
                <w:sz w:val="24"/>
              </w:rPr>
              <w:t>万师访万家落实指标</w:t>
            </w:r>
          </w:p>
        </w:tc>
        <w:tc>
          <w:tcPr>
            <w:tcW w:w="3408" w:type="dxa"/>
            <w:tcBorders>
              <w:tl2br w:val="nil"/>
              <w:tr2bl w:val="nil"/>
            </w:tcBorders>
            <w:shd w:val="clear" w:color="auto" w:fill="auto"/>
            <w:tcMar>
              <w:top w:w="120" w:type="dxa"/>
              <w:left w:w="120" w:type="dxa"/>
              <w:bottom w:w="120" w:type="dxa"/>
              <w:right w:w="120" w:type="dxa"/>
            </w:tcMar>
            <w:vAlign w:val="center"/>
          </w:tcPr>
          <w:p w14:paraId="6C85D1B2">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各县（市、区）全部建成县级教联体；全员家访覆盖率≥95%；市级40名骨干师资下沉县域培训每县不少于2场</w:t>
            </w:r>
          </w:p>
        </w:tc>
        <w:tc>
          <w:tcPr>
            <w:tcW w:w="2428" w:type="dxa"/>
            <w:tcBorders>
              <w:tl2br w:val="nil"/>
              <w:tr2bl w:val="nil"/>
            </w:tcBorders>
            <w:shd w:val="clear" w:color="auto" w:fill="auto"/>
            <w:tcMar>
              <w:top w:w="120" w:type="dxa"/>
              <w:left w:w="120" w:type="dxa"/>
              <w:bottom w:w="120" w:type="dxa"/>
              <w:right w:w="120" w:type="dxa"/>
            </w:tcMar>
            <w:vAlign w:val="center"/>
          </w:tcPr>
          <w:p w14:paraId="080BBC70">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县级教联体运行机制100%完善；万师访万家全覆盖100%；家庭教育指导课堂每校每学期不少于2场</w:t>
            </w:r>
          </w:p>
        </w:tc>
        <w:tc>
          <w:tcPr>
            <w:tcW w:w="2444" w:type="dxa"/>
            <w:tcBorders>
              <w:tl2br w:val="nil"/>
              <w:tr2bl w:val="nil"/>
            </w:tcBorders>
            <w:shd w:val="clear" w:color="auto" w:fill="auto"/>
            <w:tcMar>
              <w:top w:w="120" w:type="dxa"/>
              <w:left w:w="120" w:type="dxa"/>
              <w:bottom w:w="120" w:type="dxa"/>
              <w:right w:w="120" w:type="dxa"/>
            </w:tcMar>
            <w:vAlign w:val="center"/>
          </w:tcPr>
          <w:p w14:paraId="7741E94B">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家校社医四方协同机制全面畅通，重点学生家校沟通零断点，共育成果常态化巩固</w:t>
            </w:r>
          </w:p>
        </w:tc>
        <w:tc>
          <w:tcPr>
            <w:tcW w:w="1485" w:type="dxa"/>
            <w:tcBorders>
              <w:tl2br w:val="nil"/>
              <w:tr2bl w:val="nil"/>
            </w:tcBorders>
            <w:shd w:val="clear" w:color="auto" w:fill="auto"/>
            <w:tcMar>
              <w:top w:w="120" w:type="dxa"/>
              <w:left w:w="120" w:type="dxa"/>
              <w:bottom w:w="120" w:type="dxa"/>
              <w:right w:w="120" w:type="dxa"/>
            </w:tcMar>
            <w:vAlign w:val="center"/>
          </w:tcPr>
          <w:p w14:paraId="27B3305E">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lang w:val="en-US" w:eastAsia="zh-CN"/>
              </w:rPr>
              <w:t>市（县）</w:t>
            </w:r>
            <w:r>
              <w:rPr>
                <w:rFonts w:hint="eastAsia" w:ascii="宋体" w:hAnsi="宋体" w:eastAsia="宋体" w:cs="宋体"/>
                <w:kern w:val="0"/>
                <w:sz w:val="24"/>
              </w:rPr>
              <w:t>教体局、各校、妇联、关工委</w:t>
            </w:r>
          </w:p>
        </w:tc>
        <w:tc>
          <w:tcPr>
            <w:tcW w:w="1951" w:type="dxa"/>
            <w:tcBorders>
              <w:tl2br w:val="nil"/>
              <w:tr2bl w:val="nil"/>
            </w:tcBorders>
            <w:shd w:val="clear" w:color="auto" w:fill="auto"/>
            <w:tcMar>
              <w:top w:w="120" w:type="dxa"/>
              <w:left w:w="120" w:type="dxa"/>
              <w:bottom w:w="120" w:type="dxa"/>
              <w:right w:w="120" w:type="dxa"/>
            </w:tcMar>
            <w:vAlign w:val="center"/>
          </w:tcPr>
          <w:p w14:paraId="6749AB5B">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教联体方案、家访台账、家长课堂资料（对标江西省家校社协同育人文件考核要求）</w:t>
            </w:r>
          </w:p>
        </w:tc>
      </w:tr>
      <w:tr w14:paraId="583D6F77">
        <w:tblPrEx>
          <w:tblLayout w:type="fixed"/>
        </w:tblPrEx>
        <w:trPr>
          <w:trHeight w:val="2107" w:hRule="atLeast"/>
          <w:jc w:val="center"/>
        </w:trPr>
        <w:tc>
          <w:tcPr>
            <w:tcW w:w="913" w:type="dxa"/>
            <w:tcBorders>
              <w:tl2br w:val="nil"/>
              <w:tr2bl w:val="nil"/>
            </w:tcBorders>
            <w:shd w:val="clear" w:color="auto" w:fill="auto"/>
            <w:tcMar>
              <w:top w:w="120" w:type="dxa"/>
              <w:left w:w="120" w:type="dxa"/>
              <w:bottom w:w="120" w:type="dxa"/>
              <w:right w:w="120" w:type="dxa"/>
            </w:tcMar>
            <w:vAlign w:val="center"/>
          </w:tcPr>
          <w:p w14:paraId="19EF817A">
            <w:pPr>
              <w:widowControl/>
              <w:adjustRightInd w:val="0"/>
              <w:snapToGrid w:val="0"/>
              <w:jc w:val="center"/>
              <w:textAlignment w:val="top"/>
              <w:rPr>
                <w:rFonts w:ascii="宋体" w:hAnsi="宋体" w:eastAsia="宋体" w:cs="宋体"/>
                <w:sz w:val="24"/>
              </w:rPr>
            </w:pPr>
            <w:r>
              <w:rPr>
                <w:rStyle w:val="6"/>
                <w:rFonts w:hint="eastAsia" w:ascii="宋体" w:hAnsi="宋体" w:eastAsia="宋体" w:cs="宋体"/>
                <w:kern w:val="0"/>
                <w:sz w:val="24"/>
              </w:rPr>
              <w:t>综合保障指标</w:t>
            </w:r>
          </w:p>
        </w:tc>
        <w:tc>
          <w:tcPr>
            <w:tcW w:w="1448" w:type="dxa"/>
            <w:tcBorders>
              <w:tl2br w:val="nil"/>
              <w:tr2bl w:val="nil"/>
            </w:tcBorders>
            <w:shd w:val="clear" w:color="auto" w:fill="auto"/>
            <w:tcMar>
              <w:top w:w="120" w:type="dxa"/>
              <w:left w:w="120" w:type="dxa"/>
              <w:bottom w:w="120" w:type="dxa"/>
              <w:right w:w="120" w:type="dxa"/>
            </w:tcMar>
            <w:vAlign w:val="center"/>
          </w:tcPr>
          <w:p w14:paraId="2A477523">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专项经费保障、督导考核、宣传示范指标</w:t>
            </w:r>
          </w:p>
        </w:tc>
        <w:tc>
          <w:tcPr>
            <w:tcW w:w="3408" w:type="dxa"/>
            <w:tcBorders>
              <w:tl2br w:val="nil"/>
              <w:tr2bl w:val="nil"/>
            </w:tcBorders>
            <w:shd w:val="clear" w:color="auto" w:fill="auto"/>
            <w:tcMar>
              <w:top w:w="120" w:type="dxa"/>
              <w:left w:w="120" w:type="dxa"/>
              <w:bottom w:w="120" w:type="dxa"/>
              <w:right w:w="120" w:type="dxa"/>
            </w:tcMar>
            <w:vAlign w:val="center"/>
          </w:tcPr>
          <w:p w14:paraId="452DC32E">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专项经费足额拨付到位；月度调度、季度督查全覆盖；每县培育1个镇级示范点位</w:t>
            </w:r>
          </w:p>
        </w:tc>
        <w:tc>
          <w:tcPr>
            <w:tcW w:w="2428" w:type="dxa"/>
            <w:tcBorders>
              <w:tl2br w:val="nil"/>
              <w:tr2bl w:val="nil"/>
            </w:tcBorders>
            <w:shd w:val="clear" w:color="auto" w:fill="auto"/>
            <w:tcMar>
              <w:top w:w="120" w:type="dxa"/>
              <w:left w:w="120" w:type="dxa"/>
              <w:bottom w:w="120" w:type="dxa"/>
              <w:right w:w="120" w:type="dxa"/>
            </w:tcMar>
            <w:vAlign w:val="center"/>
          </w:tcPr>
          <w:p w14:paraId="0B8A5A51">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经费使用合规率100%；考核结果全面纳入履职评价；每县培育2个以上可复制典型案例</w:t>
            </w:r>
          </w:p>
        </w:tc>
        <w:tc>
          <w:tcPr>
            <w:tcW w:w="2444" w:type="dxa"/>
            <w:tcBorders>
              <w:tl2br w:val="nil"/>
              <w:tr2bl w:val="nil"/>
            </w:tcBorders>
            <w:shd w:val="clear" w:color="auto" w:fill="auto"/>
            <w:tcMar>
              <w:top w:w="120" w:type="dxa"/>
              <w:left w:w="120" w:type="dxa"/>
              <w:bottom w:w="120" w:type="dxa"/>
              <w:right w:w="120" w:type="dxa"/>
            </w:tcMar>
            <w:vAlign w:val="center"/>
          </w:tcPr>
          <w:p w14:paraId="29783410">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长效经费保障机制建成；示范经验</w:t>
            </w:r>
            <w:r>
              <w:rPr>
                <w:rFonts w:hint="eastAsia" w:ascii="宋体" w:hAnsi="宋体" w:eastAsia="宋体" w:cs="宋体"/>
                <w:kern w:val="0"/>
                <w:sz w:val="24"/>
                <w:lang w:eastAsia="zh-CN"/>
              </w:rPr>
              <w:t>在全市</w:t>
            </w:r>
            <w:r>
              <w:rPr>
                <w:rFonts w:hint="eastAsia" w:ascii="宋体" w:hAnsi="宋体" w:eastAsia="宋体" w:cs="宋体"/>
                <w:kern w:val="0"/>
                <w:sz w:val="24"/>
              </w:rPr>
              <w:t>推广，城乡儿童健康服务差距持续缩小</w:t>
            </w:r>
          </w:p>
        </w:tc>
        <w:tc>
          <w:tcPr>
            <w:tcW w:w="1485" w:type="dxa"/>
            <w:tcBorders>
              <w:tl2br w:val="nil"/>
              <w:tr2bl w:val="nil"/>
            </w:tcBorders>
            <w:shd w:val="clear" w:color="auto" w:fill="auto"/>
            <w:tcMar>
              <w:top w:w="120" w:type="dxa"/>
              <w:left w:w="120" w:type="dxa"/>
              <w:bottom w:w="120" w:type="dxa"/>
              <w:right w:w="120" w:type="dxa"/>
            </w:tcMar>
            <w:vAlign w:val="center"/>
          </w:tcPr>
          <w:p w14:paraId="65B5BB77">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lang w:val="en-US" w:eastAsia="zh-CN"/>
              </w:rPr>
              <w:t>市（县）</w:t>
            </w:r>
            <w:r>
              <w:rPr>
                <w:rFonts w:hint="eastAsia" w:ascii="宋体" w:hAnsi="宋体" w:eastAsia="宋体" w:cs="宋体"/>
                <w:kern w:val="0"/>
                <w:sz w:val="24"/>
              </w:rPr>
              <w:t>财</w:t>
            </w:r>
            <w:r>
              <w:rPr>
                <w:rFonts w:hint="eastAsia" w:ascii="宋体" w:hAnsi="宋体" w:eastAsia="宋体" w:cs="宋体"/>
                <w:kern w:val="0"/>
                <w:sz w:val="24"/>
                <w:lang w:eastAsia="zh-CN"/>
              </w:rPr>
              <w:t>政局</w:t>
            </w:r>
            <w:r>
              <w:rPr>
                <w:rFonts w:hint="eastAsia" w:ascii="宋体" w:hAnsi="宋体" w:eastAsia="宋体" w:cs="宋体"/>
                <w:kern w:val="0"/>
                <w:sz w:val="24"/>
              </w:rPr>
              <w:t>、教体局、各成员单位</w:t>
            </w:r>
          </w:p>
        </w:tc>
        <w:tc>
          <w:tcPr>
            <w:tcW w:w="1951" w:type="dxa"/>
            <w:tcBorders>
              <w:tl2br w:val="nil"/>
              <w:tr2bl w:val="nil"/>
            </w:tcBorders>
            <w:shd w:val="clear" w:color="auto" w:fill="auto"/>
            <w:tcMar>
              <w:top w:w="120" w:type="dxa"/>
              <w:left w:w="120" w:type="dxa"/>
              <w:bottom w:w="120" w:type="dxa"/>
              <w:right w:w="120" w:type="dxa"/>
            </w:tcMar>
            <w:vAlign w:val="center"/>
          </w:tcPr>
          <w:p w14:paraId="54BE2CB3">
            <w:pPr>
              <w:widowControl/>
              <w:adjustRightInd w:val="0"/>
              <w:snapToGrid w:val="0"/>
              <w:jc w:val="center"/>
              <w:textAlignment w:val="top"/>
              <w:rPr>
                <w:rFonts w:ascii="宋体" w:hAnsi="宋体" w:eastAsia="宋体" w:cs="宋体"/>
                <w:sz w:val="24"/>
              </w:rPr>
            </w:pPr>
            <w:r>
              <w:rPr>
                <w:rFonts w:hint="eastAsia" w:ascii="宋体" w:hAnsi="宋体" w:eastAsia="宋体" w:cs="宋体"/>
                <w:kern w:val="0"/>
                <w:sz w:val="24"/>
              </w:rPr>
              <w:t>经费凭证、督查通报、工作总结及典型材料</w:t>
            </w:r>
          </w:p>
        </w:tc>
      </w:tr>
    </w:tbl>
    <w:p w14:paraId="32C3A689">
      <w:pPr>
        <w:spacing w:line="560" w:lineRule="exact"/>
        <w:rPr>
          <w:rFonts w:ascii="仿宋" w:hAnsi="仿宋" w:eastAsia="仿宋" w:cs="仿宋"/>
          <w:color w:val="000000"/>
          <w:sz w:val="32"/>
          <w:szCs w:val="32"/>
        </w:rPr>
      </w:pP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方正小标宋简体">
    <w:panose1 w:val="02010601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3654563"/>
    </w:sdtPr>
    <w:sdtContent>
      <w:p w14:paraId="51A887A8">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14:paraId="703D25DB">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Strong"/>
    <w:basedOn w:val="5"/>
    <w:qFormat/>
    <w:uiPriority w:val="0"/>
    <w:rPr>
      <w:b/>
    </w:rPr>
  </w:style>
  <w:style w:type="character" w:customStyle="1" w:styleId="8">
    <w:name w:val="页脚 Char"/>
    <w:basedOn w:val="5"/>
    <w:link w:val="3"/>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9152</Words>
  <Characters>9410</Characters>
  <Lines>5</Lines>
  <Paragraphs>19</Paragraphs>
  <TotalTime>0</TotalTime>
  <ScaleCrop>false</ScaleCrop>
  <LinksUpToDate>false</LinksUpToDate>
  <CharactersWithSpaces>9439</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2026-06-15T13:36:00Z</dcterms:created>
  <dc:creator>123</dc:creator>
  <cp:lastModifiedBy>iPhone</cp:lastModifiedBy>
  <cp:lastPrinted>2026-06-17T16:39:00Z</cp:lastPrinted>
  <dcterms:modified xsi:type="dcterms:W3CDTF">2026-07-02T09:51:22Z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2052-26.6.2</vt:lpwstr>
  </property>
  <property fmtid="{D5CDD505-2E9C-101B-9397-08002B2CF9AE}" pid="3" name="KSOTemplateDocerSaveRecord">
    <vt:lpwstr>eyJoZGlkIjoiYzI1MDAwN2ZlMTEwM2MzNWU2NzNjNjcwNWY1MzJiZmEiLCJ1c2VySWQiOiIzNzYzNjI0NTIifQ==</vt:lpwstr>
  </property>
  <property fmtid="{D5CDD505-2E9C-101B-9397-08002B2CF9AE}" pid="4" name="ICV">
    <vt:lpwstr>C69A55E0508E46F88AC21F68A4D56049_13</vt:lpwstr>
  </property>
</Properties>
</file>