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2D7461">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eastAsia"/>
          <w:lang w:val="en-US" w:eastAsia="zh-CN"/>
        </w:rPr>
      </w:pPr>
      <w:r>
        <w:rPr>
          <w:rFonts w:hint="eastAsia"/>
          <w:lang w:val="en-US" w:eastAsia="zh-CN"/>
        </w:rPr>
        <w:t xml:space="preserve"> </w:t>
      </w:r>
    </w:p>
    <w:p w14:paraId="04C3C073">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eastAsia" w:ascii="黑体" w:hAnsi="黑体" w:eastAsia="黑体" w:cs="黑体"/>
          <w:sz w:val="48"/>
          <w:szCs w:val="48"/>
          <w:lang w:val="en-US" w:eastAsia="zh-CN"/>
        </w:rPr>
      </w:pPr>
      <w:r>
        <w:rPr>
          <w:rFonts w:hint="eastAsia" w:ascii="黑体" w:hAnsi="黑体" w:eastAsia="黑体" w:cs="黑体"/>
          <w:sz w:val="48"/>
          <w:szCs w:val="48"/>
          <w:lang w:val="en-US" w:eastAsia="zh-CN"/>
        </w:rPr>
        <w:t>昌江区高标准农田损毁设施集中修复项</w:t>
      </w:r>
    </w:p>
    <w:p w14:paraId="4B93ED66">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eastAsia" w:ascii="黑体" w:hAnsi="黑体" w:eastAsia="黑体" w:cs="黑体"/>
          <w:sz w:val="48"/>
          <w:szCs w:val="48"/>
          <w:lang w:val="en-US" w:eastAsia="zh-CN"/>
        </w:rPr>
      </w:pPr>
    </w:p>
    <w:p w14:paraId="18DFD7C3">
      <w:pPr>
        <w:keepNext w:val="0"/>
        <w:keepLines w:val="0"/>
        <w:pageBreakBefore w:val="0"/>
        <w:widowControl w:val="0"/>
        <w:kinsoku/>
        <w:wordWrap/>
        <w:overflowPunct/>
        <w:topLinePunct w:val="0"/>
        <w:autoSpaceDE/>
        <w:autoSpaceDN/>
        <w:bidi w:val="0"/>
        <w:adjustRightInd/>
        <w:snapToGrid/>
        <w:spacing w:line="480" w:lineRule="auto"/>
        <w:ind w:firstLine="0" w:firstLineChars="0"/>
        <w:jc w:val="center"/>
        <w:textAlignment w:val="auto"/>
        <w:rPr>
          <w:rFonts w:hint="eastAsia" w:ascii="黑体" w:hAnsi="黑体" w:eastAsia="黑体" w:cs="黑体"/>
          <w:sz w:val="48"/>
          <w:szCs w:val="48"/>
          <w:lang w:val="en-US" w:eastAsia="zh-CN"/>
        </w:rPr>
      </w:pPr>
      <w:r>
        <w:rPr>
          <w:rFonts w:hint="eastAsia" w:ascii="黑体" w:hAnsi="黑体" w:eastAsia="黑体" w:cs="黑体"/>
          <w:sz w:val="48"/>
          <w:szCs w:val="48"/>
          <w:lang w:val="en-US" w:eastAsia="zh-CN"/>
        </w:rPr>
        <w:t>目初步设计报告</w:t>
      </w:r>
    </w:p>
    <w:p w14:paraId="17AEA991">
      <w:pPr>
        <w:bidi w:val="0"/>
        <w:rPr>
          <w:rFonts w:hint="eastAsia"/>
          <w:lang w:val="en-US" w:eastAsia="zh-CN"/>
        </w:rPr>
      </w:pPr>
    </w:p>
    <w:p w14:paraId="2891B8E4">
      <w:pPr>
        <w:bidi w:val="0"/>
        <w:rPr>
          <w:rFonts w:hint="eastAsia"/>
          <w:lang w:val="en-US" w:eastAsia="zh-CN"/>
        </w:rPr>
      </w:pPr>
    </w:p>
    <w:p w14:paraId="719D4498">
      <w:pPr>
        <w:bidi w:val="0"/>
        <w:rPr>
          <w:rFonts w:hint="eastAsia"/>
          <w:lang w:val="en-US" w:eastAsia="zh-CN"/>
        </w:rPr>
      </w:pPr>
    </w:p>
    <w:p w14:paraId="44D5E816">
      <w:pPr>
        <w:bidi w:val="0"/>
        <w:rPr>
          <w:rFonts w:hint="eastAsia"/>
          <w:lang w:val="en-US" w:eastAsia="zh-CN"/>
        </w:rPr>
      </w:pPr>
    </w:p>
    <w:p w14:paraId="01E68B1D">
      <w:pPr>
        <w:bidi w:val="0"/>
        <w:rPr>
          <w:rFonts w:hint="eastAsia"/>
          <w:lang w:val="en-US" w:eastAsia="zh-CN"/>
        </w:rPr>
      </w:pPr>
    </w:p>
    <w:p w14:paraId="4E6C863D">
      <w:pPr>
        <w:bidi w:val="0"/>
      </w:pPr>
      <w:r>
        <w:drawing>
          <wp:anchor distT="0" distB="0" distL="114300" distR="114300" simplePos="0" relativeHeight="251662336" behindDoc="1" locked="0" layoutInCell="1" allowOverlap="1">
            <wp:simplePos x="0" y="0"/>
            <wp:positionH relativeFrom="column">
              <wp:posOffset>1642745</wp:posOffset>
            </wp:positionH>
            <wp:positionV relativeFrom="paragraph">
              <wp:posOffset>255270</wp:posOffset>
            </wp:positionV>
            <wp:extent cx="1818640" cy="1798320"/>
            <wp:effectExtent l="0" t="0" r="10160" b="0"/>
            <wp:wrapNone/>
            <wp:docPr id="12" name="图片 4" descr="高标准农田标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高标准农田标识图"/>
                    <pic:cNvPicPr>
                      <a:picLocks noChangeAspect="1"/>
                    </pic:cNvPicPr>
                  </pic:nvPicPr>
                  <pic:blipFill>
                    <a:blip r:embed="rId9"/>
                    <a:stretch>
                      <a:fillRect/>
                    </a:stretch>
                  </pic:blipFill>
                  <pic:spPr>
                    <a:xfrm>
                      <a:off x="0" y="0"/>
                      <a:ext cx="1818640" cy="1798320"/>
                    </a:xfrm>
                    <a:prstGeom prst="rect">
                      <a:avLst/>
                    </a:prstGeom>
                    <a:noFill/>
                    <a:ln>
                      <a:noFill/>
                    </a:ln>
                  </pic:spPr>
                </pic:pic>
              </a:graphicData>
            </a:graphic>
          </wp:anchor>
        </w:drawing>
      </w:r>
    </w:p>
    <w:p w14:paraId="276A0556">
      <w:pPr>
        <w:bidi w:val="0"/>
      </w:pPr>
    </w:p>
    <w:p w14:paraId="6485DD68">
      <w:pPr>
        <w:bidi w:val="0"/>
      </w:pPr>
    </w:p>
    <w:p w14:paraId="5E97746D">
      <w:pPr>
        <w:bidi w:val="0"/>
      </w:pPr>
    </w:p>
    <w:p w14:paraId="0EB0F341">
      <w:pPr>
        <w:bidi w:val="0"/>
      </w:pPr>
    </w:p>
    <w:p w14:paraId="356575B7">
      <w:pPr>
        <w:bidi w:val="0"/>
      </w:pPr>
    </w:p>
    <w:p w14:paraId="09216414">
      <w:pPr>
        <w:bidi w:val="0"/>
      </w:pPr>
    </w:p>
    <w:p w14:paraId="40098ED2">
      <w:pPr>
        <w:bidi w:val="0"/>
      </w:pPr>
    </w:p>
    <w:p w14:paraId="067BEB91">
      <w:pPr>
        <w:bidi w:val="0"/>
      </w:pPr>
    </w:p>
    <w:p w14:paraId="50D8F62F">
      <w:pPr>
        <w:bidi w:val="0"/>
      </w:pPr>
    </w:p>
    <w:p w14:paraId="7A7480A8">
      <w:pPr>
        <w:bidi w:val="0"/>
      </w:pPr>
    </w:p>
    <w:p w14:paraId="7DFE773F">
      <w:pPr>
        <w:bidi w:val="0"/>
      </w:pPr>
    </w:p>
    <w:p w14:paraId="3EB29B9E">
      <w:pPr>
        <w:bidi w:val="0"/>
        <w:rPr>
          <w:highlight w:val="yellow"/>
        </w:rPr>
      </w:pPr>
    </w:p>
    <w:p w14:paraId="3FA482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t>设计单位（公章）：中元天纬集团有限公司</w:t>
      </w:r>
    </w:p>
    <w:p w14:paraId="2FEB139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黑体" w:hAnsi="黑体" w:eastAsia="黑体" w:cs="黑体"/>
          <w:sz w:val="32"/>
          <w:szCs w:val="32"/>
          <w:lang w:val="en-US" w:eastAsia="zh-CN"/>
        </w:rPr>
        <w:sectPr>
          <w:pgSz w:w="11906" w:h="16838"/>
          <w:pgMar w:top="1440" w:right="1800" w:bottom="1440" w:left="1800" w:header="851" w:footer="992" w:gutter="0"/>
          <w:cols w:space="425" w:num="1"/>
          <w:docGrid w:type="lines" w:linePitch="312" w:charSpace="0"/>
        </w:sectPr>
      </w:pPr>
      <w:r>
        <w:rPr>
          <w:rFonts w:hint="eastAsia" w:ascii="黑体" w:hAnsi="黑体" w:eastAsia="黑体" w:cs="黑体"/>
          <w:sz w:val="32"/>
          <w:szCs w:val="32"/>
          <w:lang w:val="en-US" w:eastAsia="zh-CN"/>
        </w:rPr>
        <w:t>编制日期：二零二六年七月</w:t>
      </w:r>
    </w:p>
    <w:p w14:paraId="178EA5F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lang w:val="en-US" w:eastAsia="zh-CN"/>
        </w:rPr>
      </w:pPr>
    </w:p>
    <w:p w14:paraId="5DA3FC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黑体" w:hAnsi="黑体" w:eastAsia="黑体" w:cs="黑体"/>
          <w:sz w:val="48"/>
          <w:szCs w:val="48"/>
          <w:lang w:val="en-US" w:eastAsia="zh-CN"/>
        </w:rPr>
      </w:pPr>
      <w:r>
        <w:rPr>
          <w:rFonts w:hint="eastAsia" w:ascii="黑体" w:hAnsi="黑体" w:eastAsia="黑体" w:cs="黑体"/>
          <w:sz w:val="48"/>
          <w:szCs w:val="48"/>
          <w:lang w:val="en-US" w:eastAsia="zh-CN"/>
        </w:rPr>
        <w:t>昌江区高标准农田损毁设施集中修复项目初步设计报告</w:t>
      </w:r>
    </w:p>
    <w:p w14:paraId="7223C8FE">
      <w:pPr>
        <w:bidi w:val="0"/>
      </w:pPr>
    </w:p>
    <w:p w14:paraId="5B1C0816">
      <w:pPr>
        <w:bidi w:val="0"/>
        <w:rPr>
          <w:rFonts w:hint="default"/>
          <w:lang w:val="en-US" w:eastAsia="zh-CN"/>
        </w:rPr>
      </w:pPr>
    </w:p>
    <w:p w14:paraId="2F1B0033">
      <w:pPr>
        <w:bidi w:val="0"/>
        <w:rPr>
          <w:rFonts w:hint="default"/>
          <w:lang w:val="en-US" w:eastAsia="zh-CN"/>
        </w:rPr>
      </w:pPr>
    </w:p>
    <w:p w14:paraId="500A66B8">
      <w:pPr>
        <w:bidi w:val="0"/>
        <w:rPr>
          <w:rFonts w:hint="default"/>
          <w:lang w:val="en-US" w:eastAsia="zh-CN"/>
        </w:rPr>
      </w:pPr>
    </w:p>
    <w:p w14:paraId="0D0F215F">
      <w:pPr>
        <w:bidi w:val="0"/>
        <w:rPr>
          <w:rFonts w:hint="default"/>
          <w:lang w:val="en-US" w:eastAsia="zh-CN"/>
        </w:rPr>
      </w:pPr>
    </w:p>
    <w:p w14:paraId="6F772034">
      <w:pPr>
        <w:bidi w:val="0"/>
        <w:rPr>
          <w:rFonts w:hint="default"/>
          <w:lang w:val="en-US" w:eastAsia="zh-CN"/>
        </w:rPr>
      </w:pPr>
    </w:p>
    <w:p w14:paraId="44609F06">
      <w:pPr>
        <w:bidi w:val="0"/>
        <w:rPr>
          <w:rFonts w:hint="default"/>
          <w:lang w:val="en-US" w:eastAsia="zh-CN"/>
        </w:rPr>
      </w:pPr>
    </w:p>
    <w:p w14:paraId="610A921A">
      <w:pPr>
        <w:bidi w:val="0"/>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设计单位：</w:t>
      </w:r>
      <w:r>
        <w:rPr>
          <w:rFonts w:hint="eastAsia" w:ascii="宋体" w:hAnsi="宋体" w:cs="宋体"/>
          <w:sz w:val="32"/>
          <w:szCs w:val="32"/>
          <w:lang w:val="en-US" w:eastAsia="zh-CN"/>
        </w:rPr>
        <w:t>中元天纬集团有限公司</w:t>
      </w:r>
    </w:p>
    <w:p w14:paraId="7A733214">
      <w:pPr>
        <w:bidi w:val="0"/>
        <w:rPr>
          <w:rFonts w:hint="eastAsia" w:ascii="宋体" w:hAnsi="宋体" w:eastAsia="宋体" w:cs="宋体"/>
          <w:sz w:val="32"/>
          <w:szCs w:val="32"/>
          <w:lang w:val="en-US" w:eastAsia="zh-CN"/>
        </w:rPr>
      </w:pPr>
    </w:p>
    <w:p w14:paraId="37750536">
      <w:pPr>
        <w:bidi w:val="0"/>
        <w:rPr>
          <w:rFonts w:hint="eastAsia" w:ascii="宋体" w:hAnsi="宋体" w:eastAsia="宋体" w:cs="宋体"/>
          <w:sz w:val="32"/>
          <w:szCs w:val="32"/>
          <w:lang w:val="en-US" w:eastAsia="zh-CN"/>
        </w:rPr>
      </w:pPr>
    </w:p>
    <w:p w14:paraId="1145C00F">
      <w:pPr>
        <w:bidi w:val="0"/>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技术总负责人：</w:t>
      </w:r>
    </w:p>
    <w:p w14:paraId="4ECD7B53">
      <w:pPr>
        <w:bidi w:val="0"/>
        <w:rPr>
          <w:rFonts w:hint="eastAsia" w:ascii="宋体" w:hAnsi="宋体" w:eastAsia="宋体" w:cs="宋体"/>
          <w:sz w:val="32"/>
          <w:szCs w:val="32"/>
          <w:lang w:val="en-US" w:eastAsia="zh-CN"/>
        </w:rPr>
      </w:pPr>
    </w:p>
    <w:p w14:paraId="6B553DC5">
      <w:pPr>
        <w:bidi w:val="0"/>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项目负责人：</w:t>
      </w:r>
    </w:p>
    <w:p w14:paraId="79CCE7AB">
      <w:pPr>
        <w:bidi w:val="0"/>
        <w:rPr>
          <w:rFonts w:hint="eastAsia" w:ascii="宋体" w:hAnsi="宋体" w:eastAsia="宋体" w:cs="宋体"/>
          <w:sz w:val="32"/>
          <w:szCs w:val="32"/>
          <w:lang w:val="en-US" w:eastAsia="zh-CN"/>
        </w:rPr>
      </w:pPr>
    </w:p>
    <w:p w14:paraId="39CC7C0B">
      <w:pPr>
        <w:bidi w:val="0"/>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编制人：</w:t>
      </w:r>
    </w:p>
    <w:p w14:paraId="0B5786A9">
      <w:pPr>
        <w:bidi w:val="0"/>
        <w:rPr>
          <w:rFonts w:hint="eastAsia" w:ascii="宋体" w:hAnsi="宋体" w:eastAsia="宋体" w:cs="宋体"/>
          <w:sz w:val="32"/>
          <w:szCs w:val="32"/>
          <w:lang w:val="en-US" w:eastAsia="zh-CN"/>
        </w:rPr>
      </w:pPr>
    </w:p>
    <w:p w14:paraId="0700C2C4">
      <w:pPr>
        <w:bidi w:val="0"/>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编制日期：</w:t>
      </w:r>
      <w:r>
        <w:rPr>
          <w:rFonts w:hint="eastAsia" w:ascii="宋体" w:hAnsi="宋体" w:cs="宋体"/>
          <w:sz w:val="32"/>
          <w:szCs w:val="32"/>
          <w:lang w:val="en-US" w:eastAsia="zh-CN"/>
        </w:rPr>
        <w:t>2026年7月</w:t>
      </w:r>
    </w:p>
    <w:p w14:paraId="4E0DE304">
      <w:pPr>
        <w:bidi w:val="0"/>
        <w:rPr>
          <w:rFonts w:hint="eastAsia" w:ascii="宋体" w:hAnsi="宋体" w:eastAsia="宋体" w:cs="宋体"/>
          <w:sz w:val="32"/>
          <w:szCs w:val="32"/>
          <w:lang w:val="en-US" w:eastAsia="zh-CN"/>
        </w:rPr>
        <w:sectPr>
          <w:pgSz w:w="11906" w:h="16838"/>
          <w:pgMar w:top="1440" w:right="1800" w:bottom="1440" w:left="1800" w:header="851" w:footer="992" w:gutter="0"/>
          <w:cols w:space="425" w:num="1"/>
          <w:docGrid w:type="lines" w:linePitch="312" w:charSpace="0"/>
        </w:sectPr>
      </w:pPr>
    </w:p>
    <w:p w14:paraId="1DB04052">
      <w:pPr>
        <w:bidi w:val="0"/>
        <w:rPr>
          <w:rFonts w:hint="default"/>
          <w:lang w:val="en-US" w:eastAsia="zh-CN"/>
        </w:rPr>
        <w:sectPr>
          <w:pgSz w:w="11906" w:h="16838"/>
          <w:pgMar w:top="1440" w:right="1800" w:bottom="1440" w:left="1800" w:header="851" w:footer="992" w:gutter="0"/>
          <w:cols w:space="425" w:num="1"/>
          <w:docGrid w:type="lines" w:linePitch="312" w:charSpace="0"/>
        </w:sectPr>
      </w:pPr>
      <w:r>
        <w:rPr>
          <w:rFonts w:hint="default"/>
          <w:lang w:val="en-US" w:eastAsia="zh-CN"/>
        </w:rPr>
        <w:drawing>
          <wp:anchor distT="0" distB="0" distL="114300" distR="114300" simplePos="0" relativeHeight="251670528" behindDoc="1" locked="0" layoutInCell="1" allowOverlap="1">
            <wp:simplePos x="0" y="0"/>
            <wp:positionH relativeFrom="column">
              <wp:posOffset>-1917700</wp:posOffset>
            </wp:positionH>
            <wp:positionV relativeFrom="paragraph">
              <wp:posOffset>1233170</wp:posOffset>
            </wp:positionV>
            <wp:extent cx="9049385" cy="6430645"/>
            <wp:effectExtent l="0" t="0" r="635" b="3175"/>
            <wp:wrapTight wrapText="bothSides">
              <wp:wrapPolygon>
                <wp:start x="21600" y="0"/>
                <wp:lineTo x="29" y="0"/>
                <wp:lineTo x="29" y="21551"/>
                <wp:lineTo x="21600" y="21551"/>
                <wp:lineTo x="21600" y="0"/>
              </wp:wrapPolygon>
            </wp:wrapTight>
            <wp:docPr id="11" name="图片 11" descr="5e1c395e391b957e148cb1ec2a6cf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e1c395e391b957e148cb1ec2a6cf046"/>
                    <pic:cNvPicPr>
                      <a:picLocks noChangeAspect="1"/>
                    </pic:cNvPicPr>
                  </pic:nvPicPr>
                  <pic:blipFill>
                    <a:blip r:embed="rId10"/>
                    <a:stretch>
                      <a:fillRect/>
                    </a:stretch>
                  </pic:blipFill>
                  <pic:spPr>
                    <a:xfrm rot="16200000">
                      <a:off x="0" y="0"/>
                      <a:ext cx="9049385" cy="6430645"/>
                    </a:xfrm>
                    <a:prstGeom prst="rect">
                      <a:avLst/>
                    </a:prstGeom>
                  </pic:spPr>
                </pic:pic>
              </a:graphicData>
            </a:graphic>
          </wp:anchor>
        </w:drawing>
      </w:r>
    </w:p>
    <w:p w14:paraId="6B841574">
      <w:pPr>
        <w:bidi w:val="0"/>
        <w:jc w:val="center"/>
        <w:rPr>
          <w:rFonts w:hint="eastAsia"/>
          <w:b/>
          <w:bCs/>
          <w:sz w:val="32"/>
          <w:szCs w:val="32"/>
          <w:lang w:val="en-US" w:eastAsia="zh-CN"/>
        </w:rPr>
      </w:pPr>
      <w:bookmarkStart w:id="0" w:name="_Toc17450"/>
      <w:bookmarkStart w:id="1" w:name="_Toc1376"/>
      <w:r>
        <w:rPr>
          <w:rFonts w:hint="eastAsia"/>
          <w:b/>
          <w:bCs/>
          <w:sz w:val="32"/>
          <w:szCs w:val="32"/>
          <w:lang w:val="en-US" w:eastAsia="zh-CN"/>
        </w:rPr>
        <w:t>目  录</w:t>
      </w:r>
      <w:bookmarkEnd w:id="0"/>
      <w:bookmarkEnd w:id="1"/>
    </w:p>
    <w:sdt>
      <w:sdtPr>
        <w:rPr>
          <w:rFonts w:ascii="宋体" w:hAnsi="宋体" w:eastAsia="宋体" w:cstheme="minorBidi"/>
          <w:kern w:val="2"/>
          <w:sz w:val="21"/>
          <w:szCs w:val="24"/>
          <w:lang w:val="en-US" w:eastAsia="zh-CN" w:bidi="ar-SA"/>
        </w:rPr>
        <w:id w:val="147453948"/>
        <w15:color w:val="DBDBDB"/>
        <w:docPartObj>
          <w:docPartGallery w:val="Table of Contents"/>
          <w:docPartUnique/>
        </w:docPartObj>
      </w:sdtPr>
      <w:sdtEndPr>
        <w:rPr>
          <w:rFonts w:hint="eastAsia" w:ascii="Times New Roman" w:hAnsi="Times New Roman" w:eastAsia="宋体" w:cstheme="minorBidi"/>
          <w:kern w:val="2"/>
          <w:sz w:val="24"/>
          <w:szCs w:val="24"/>
          <w:lang w:val="en-US" w:eastAsia="zh-CN" w:bidi="ar-SA"/>
        </w:rPr>
      </w:sdtEndPr>
      <w:sdtContent>
        <w:p w14:paraId="4A2504AB">
          <w:pPr>
            <w:spacing w:before="0" w:beforeLines="0" w:after="0" w:afterLines="0" w:line="240" w:lineRule="auto"/>
            <w:ind w:left="0" w:leftChars="0" w:right="0" w:rightChars="0" w:firstLine="0" w:firstLineChars="0"/>
            <w:jc w:val="center"/>
          </w:pPr>
        </w:p>
        <w:p w14:paraId="4A9D7F30">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 w:val="24"/>
              <w:szCs w:val="24"/>
              <w:lang w:val="en-US" w:eastAsia="zh-CN" w:bidi="ar-SA"/>
            </w:rPr>
            <w:fldChar w:fldCharType="begin"/>
          </w:r>
          <w:r>
            <w:rPr>
              <w:rFonts w:hint="eastAsia" w:ascii="Times New Roman" w:hAnsi="Times New Roman" w:eastAsia="宋体" w:cstheme="minorBidi"/>
              <w:kern w:val="2"/>
              <w:sz w:val="24"/>
              <w:szCs w:val="24"/>
              <w:lang w:val="en-US" w:eastAsia="zh-CN" w:bidi="ar-SA"/>
            </w:rPr>
            <w:instrText xml:space="preserve">TOC \o "1-2" \h \u </w:instrText>
          </w:r>
          <w:r>
            <w:rPr>
              <w:rFonts w:hint="eastAsia" w:ascii="Times New Roman" w:hAnsi="Times New Roman" w:eastAsia="宋体" w:cstheme="minorBidi"/>
              <w:kern w:val="2"/>
              <w:sz w:val="24"/>
              <w:szCs w:val="24"/>
              <w:lang w:val="en-US" w:eastAsia="zh-CN" w:bidi="ar-SA"/>
            </w:rPr>
            <w:fldChar w:fldCharType="separate"/>
          </w: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_Toc22759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第一章  项目概况</w:t>
          </w:r>
          <w:r>
            <w:tab/>
          </w:r>
          <w:r>
            <w:fldChar w:fldCharType="begin"/>
          </w:r>
          <w:r>
            <w:instrText xml:space="preserve"> PAGEREF _Toc22759 \h </w:instrText>
          </w:r>
          <w:r>
            <w:fldChar w:fldCharType="separate"/>
          </w:r>
          <w:r>
            <w:t>1</w:t>
          </w:r>
          <w:r>
            <w:fldChar w:fldCharType="end"/>
          </w:r>
          <w:r>
            <w:rPr>
              <w:rFonts w:hint="eastAsia" w:ascii="Times New Roman" w:hAnsi="Times New Roman" w:eastAsia="宋体" w:cstheme="minorBidi"/>
              <w:kern w:val="2"/>
              <w:szCs w:val="24"/>
              <w:lang w:val="en-US" w:eastAsia="zh-CN" w:bidi="ar-SA"/>
            </w:rPr>
            <w:fldChar w:fldCharType="end"/>
          </w:r>
        </w:p>
        <w:p w14:paraId="0E8AABAF">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_Toc19250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1.1 项目背景</w:t>
          </w:r>
          <w:r>
            <w:tab/>
          </w:r>
          <w:r>
            <w:fldChar w:fldCharType="begin"/>
          </w:r>
          <w:r>
            <w:instrText xml:space="preserve"> PAGEREF _Toc19250 \h </w:instrText>
          </w:r>
          <w:r>
            <w:fldChar w:fldCharType="separate"/>
          </w:r>
          <w:r>
            <w:t>1</w:t>
          </w:r>
          <w:r>
            <w:fldChar w:fldCharType="end"/>
          </w:r>
          <w:r>
            <w:rPr>
              <w:rFonts w:hint="eastAsia" w:ascii="Times New Roman" w:hAnsi="Times New Roman" w:eastAsia="宋体" w:cstheme="minorBidi"/>
              <w:kern w:val="2"/>
              <w:szCs w:val="24"/>
              <w:lang w:val="en-US" w:eastAsia="zh-CN" w:bidi="ar-SA"/>
            </w:rPr>
            <w:fldChar w:fldCharType="end"/>
          </w:r>
        </w:p>
        <w:p w14:paraId="03DD2C16">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_Toc20700 </w:instrText>
          </w:r>
          <w:r>
            <w:rPr>
              <w:rFonts w:hint="eastAsia" w:ascii="Times New Roman" w:hAnsi="Times New Roman" w:eastAsia="宋体" w:cstheme="minorBidi"/>
              <w:kern w:val="2"/>
              <w:szCs w:val="24"/>
              <w:lang w:val="en-US" w:eastAsia="zh-CN" w:bidi="ar-SA"/>
            </w:rPr>
            <w:fldChar w:fldCharType="separate"/>
          </w:r>
          <w:r>
            <w:rPr>
              <w:rFonts w:hint="eastAsia"/>
              <w:highlight w:val="none"/>
              <w:lang w:val="en-US" w:eastAsia="zh-CN"/>
            </w:rPr>
            <w:t>1.2 项目建设地点及规模</w:t>
          </w:r>
          <w:r>
            <w:tab/>
          </w:r>
          <w:r>
            <w:fldChar w:fldCharType="begin"/>
          </w:r>
          <w:r>
            <w:instrText xml:space="preserve"> PAGEREF _Toc20700 \h </w:instrText>
          </w:r>
          <w:r>
            <w:fldChar w:fldCharType="separate"/>
          </w:r>
          <w:r>
            <w:t>2</w:t>
          </w:r>
          <w:r>
            <w:fldChar w:fldCharType="end"/>
          </w:r>
          <w:r>
            <w:rPr>
              <w:rFonts w:hint="eastAsia" w:ascii="Times New Roman" w:hAnsi="Times New Roman" w:eastAsia="宋体" w:cstheme="minorBidi"/>
              <w:kern w:val="2"/>
              <w:szCs w:val="24"/>
              <w:lang w:val="en-US" w:eastAsia="zh-CN" w:bidi="ar-SA"/>
            </w:rPr>
            <w:fldChar w:fldCharType="end"/>
          </w:r>
        </w:p>
        <w:p w14:paraId="7E032045">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_Toc16367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1.3 自然状况</w:t>
          </w:r>
          <w:r>
            <w:tab/>
          </w:r>
          <w:r>
            <w:fldChar w:fldCharType="begin"/>
          </w:r>
          <w:r>
            <w:instrText xml:space="preserve"> PAGEREF _Toc16367 \h </w:instrText>
          </w:r>
          <w:r>
            <w:fldChar w:fldCharType="separate"/>
          </w:r>
          <w:r>
            <w:t>4</w:t>
          </w:r>
          <w:r>
            <w:fldChar w:fldCharType="end"/>
          </w:r>
          <w:r>
            <w:rPr>
              <w:rFonts w:hint="eastAsia" w:ascii="Times New Roman" w:hAnsi="Times New Roman" w:eastAsia="宋体" w:cstheme="minorBidi"/>
              <w:kern w:val="2"/>
              <w:szCs w:val="24"/>
              <w:lang w:val="en-US" w:eastAsia="zh-CN" w:bidi="ar-SA"/>
            </w:rPr>
            <w:fldChar w:fldCharType="end"/>
          </w:r>
        </w:p>
        <w:p w14:paraId="6D0DAB39">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_Toc29037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1.4 社会经济状况</w:t>
          </w:r>
          <w:r>
            <w:tab/>
          </w:r>
          <w:r>
            <w:fldChar w:fldCharType="begin"/>
          </w:r>
          <w:r>
            <w:instrText xml:space="preserve"> PAGEREF _Toc29037 \h </w:instrText>
          </w:r>
          <w:r>
            <w:fldChar w:fldCharType="separate"/>
          </w:r>
          <w:r>
            <w:t>7</w:t>
          </w:r>
          <w:r>
            <w:fldChar w:fldCharType="end"/>
          </w:r>
          <w:r>
            <w:rPr>
              <w:rFonts w:hint="eastAsia" w:ascii="Times New Roman" w:hAnsi="Times New Roman" w:eastAsia="宋体" w:cstheme="minorBidi"/>
              <w:kern w:val="2"/>
              <w:szCs w:val="24"/>
              <w:lang w:val="en-US" w:eastAsia="zh-CN" w:bidi="ar-SA"/>
            </w:rPr>
            <w:fldChar w:fldCharType="end"/>
          </w:r>
        </w:p>
        <w:p w14:paraId="7E08669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_Toc9216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1.5 基础设施状况</w:t>
          </w:r>
          <w:r>
            <w:tab/>
          </w:r>
          <w:r>
            <w:fldChar w:fldCharType="begin"/>
          </w:r>
          <w:r>
            <w:instrText xml:space="preserve"> PAGEREF _Toc9216 \h </w:instrText>
          </w:r>
          <w:r>
            <w:fldChar w:fldCharType="separate"/>
          </w:r>
          <w:r>
            <w:t>9</w:t>
          </w:r>
          <w:r>
            <w:fldChar w:fldCharType="end"/>
          </w:r>
          <w:r>
            <w:rPr>
              <w:rFonts w:hint="eastAsia" w:ascii="Times New Roman" w:hAnsi="Times New Roman" w:eastAsia="宋体" w:cstheme="minorBidi"/>
              <w:kern w:val="2"/>
              <w:szCs w:val="24"/>
              <w:lang w:val="en-US" w:eastAsia="zh-CN" w:bidi="ar-SA"/>
            </w:rPr>
            <w:fldChar w:fldCharType="end"/>
          </w:r>
        </w:p>
        <w:p w14:paraId="401D6C3C">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_Toc11669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1.6 制约因素</w:t>
          </w:r>
          <w:r>
            <w:tab/>
          </w:r>
          <w:r>
            <w:fldChar w:fldCharType="begin"/>
          </w:r>
          <w:r>
            <w:instrText xml:space="preserve"> PAGEREF _Toc11669 \h </w:instrText>
          </w:r>
          <w:r>
            <w:fldChar w:fldCharType="separate"/>
          </w:r>
          <w:r>
            <w:t>10</w:t>
          </w:r>
          <w:r>
            <w:fldChar w:fldCharType="end"/>
          </w:r>
          <w:r>
            <w:rPr>
              <w:rFonts w:hint="eastAsia" w:ascii="Times New Roman" w:hAnsi="Times New Roman" w:eastAsia="宋体" w:cstheme="minorBidi"/>
              <w:kern w:val="2"/>
              <w:szCs w:val="24"/>
              <w:lang w:val="en-US" w:eastAsia="zh-CN" w:bidi="ar-SA"/>
            </w:rPr>
            <w:fldChar w:fldCharType="end"/>
          </w:r>
        </w:p>
        <w:p w14:paraId="2E948DF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_Toc2455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1.7 公众参与</w:t>
          </w:r>
          <w:r>
            <w:tab/>
          </w:r>
          <w:r>
            <w:fldChar w:fldCharType="begin"/>
          </w:r>
          <w:r>
            <w:instrText xml:space="preserve"> PAGEREF _Toc2455 \h </w:instrText>
          </w:r>
          <w:r>
            <w:fldChar w:fldCharType="separate"/>
          </w:r>
          <w:r>
            <w:t>10</w:t>
          </w:r>
          <w:r>
            <w:fldChar w:fldCharType="end"/>
          </w:r>
          <w:r>
            <w:rPr>
              <w:rFonts w:hint="eastAsia" w:ascii="Times New Roman" w:hAnsi="Times New Roman" w:eastAsia="宋体" w:cstheme="minorBidi"/>
              <w:kern w:val="2"/>
              <w:szCs w:val="24"/>
              <w:lang w:val="en-US" w:eastAsia="zh-CN" w:bidi="ar-SA"/>
            </w:rPr>
            <w:fldChar w:fldCharType="end"/>
          </w:r>
        </w:p>
        <w:p w14:paraId="14D9FDE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_Toc13629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1.8报告编制依据</w:t>
          </w:r>
          <w:r>
            <w:tab/>
          </w:r>
          <w:r>
            <w:fldChar w:fldCharType="begin"/>
          </w:r>
          <w:r>
            <w:instrText xml:space="preserve"> PAGEREF _Toc13629 \h </w:instrText>
          </w:r>
          <w:r>
            <w:fldChar w:fldCharType="separate"/>
          </w:r>
          <w:r>
            <w:t>12</w:t>
          </w:r>
          <w:r>
            <w:fldChar w:fldCharType="end"/>
          </w:r>
          <w:r>
            <w:rPr>
              <w:rFonts w:hint="eastAsia" w:ascii="Times New Roman" w:hAnsi="Times New Roman" w:eastAsia="宋体" w:cstheme="minorBidi"/>
              <w:kern w:val="2"/>
              <w:szCs w:val="24"/>
              <w:lang w:val="en-US" w:eastAsia="zh-CN" w:bidi="ar-SA"/>
            </w:rPr>
            <w:fldChar w:fldCharType="end"/>
          </w:r>
        </w:p>
        <w:p w14:paraId="6B6F8DFA">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_Toc13690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第二章  项目区水土资源评价</w:t>
          </w:r>
          <w:r>
            <w:tab/>
          </w:r>
          <w:r>
            <w:fldChar w:fldCharType="begin"/>
          </w:r>
          <w:r>
            <w:instrText xml:space="preserve"> PAGEREF _Toc13690 \h </w:instrText>
          </w:r>
          <w:r>
            <w:fldChar w:fldCharType="separate"/>
          </w:r>
          <w:r>
            <w:t>17</w:t>
          </w:r>
          <w:r>
            <w:fldChar w:fldCharType="end"/>
          </w:r>
          <w:r>
            <w:rPr>
              <w:rFonts w:hint="eastAsia" w:ascii="Times New Roman" w:hAnsi="Times New Roman" w:eastAsia="宋体" w:cstheme="minorBidi"/>
              <w:kern w:val="2"/>
              <w:szCs w:val="24"/>
              <w:lang w:val="en-US" w:eastAsia="zh-CN" w:bidi="ar-SA"/>
            </w:rPr>
            <w:fldChar w:fldCharType="end"/>
          </w:r>
        </w:p>
        <w:p w14:paraId="0001BF0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_Toc9382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2.1 </w:t>
          </w:r>
          <w:r>
            <w:t>耕地资源</w:t>
          </w:r>
          <w:r>
            <w:rPr>
              <w:rFonts w:hint="eastAsia"/>
              <w:lang w:val="en-US" w:eastAsia="zh-CN"/>
            </w:rPr>
            <w:t>现状分析与</w:t>
          </w:r>
          <w:r>
            <w:t>评价</w:t>
          </w:r>
          <w:r>
            <w:tab/>
          </w:r>
          <w:r>
            <w:fldChar w:fldCharType="begin"/>
          </w:r>
          <w:r>
            <w:instrText xml:space="preserve"> PAGEREF _Toc9382 \h </w:instrText>
          </w:r>
          <w:r>
            <w:fldChar w:fldCharType="separate"/>
          </w:r>
          <w:r>
            <w:t>17</w:t>
          </w:r>
          <w:r>
            <w:fldChar w:fldCharType="end"/>
          </w:r>
          <w:r>
            <w:rPr>
              <w:rFonts w:hint="eastAsia" w:ascii="Times New Roman" w:hAnsi="Times New Roman" w:eastAsia="宋体" w:cstheme="minorBidi"/>
              <w:kern w:val="2"/>
              <w:szCs w:val="24"/>
              <w:lang w:val="en-US" w:eastAsia="zh-CN" w:bidi="ar-SA"/>
            </w:rPr>
            <w:fldChar w:fldCharType="end"/>
          </w:r>
        </w:p>
        <w:p w14:paraId="1D3F0F84">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_Toc23342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2.2 </w:t>
          </w:r>
          <w:r>
            <w:t>水资源供需平衡分析</w:t>
          </w:r>
          <w:r>
            <w:tab/>
          </w:r>
          <w:r>
            <w:fldChar w:fldCharType="begin"/>
          </w:r>
          <w:r>
            <w:instrText xml:space="preserve"> PAGEREF _Toc23342 \h </w:instrText>
          </w:r>
          <w:r>
            <w:fldChar w:fldCharType="separate"/>
          </w:r>
          <w:r>
            <w:t>23</w:t>
          </w:r>
          <w:r>
            <w:fldChar w:fldCharType="end"/>
          </w:r>
          <w:r>
            <w:rPr>
              <w:rFonts w:hint="eastAsia" w:ascii="Times New Roman" w:hAnsi="Times New Roman" w:eastAsia="宋体" w:cstheme="minorBidi"/>
              <w:kern w:val="2"/>
              <w:szCs w:val="24"/>
              <w:lang w:val="en-US" w:eastAsia="zh-CN" w:bidi="ar-SA"/>
            </w:rPr>
            <w:fldChar w:fldCharType="end"/>
          </w:r>
        </w:p>
        <w:p w14:paraId="5213DB48">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_Toc28769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第三章  工程规划</w:t>
          </w:r>
          <w:r>
            <w:tab/>
          </w:r>
          <w:r>
            <w:fldChar w:fldCharType="begin"/>
          </w:r>
          <w:r>
            <w:instrText xml:space="preserve"> PAGEREF _Toc28769 \h </w:instrText>
          </w:r>
          <w:r>
            <w:fldChar w:fldCharType="separate"/>
          </w:r>
          <w:r>
            <w:t>30</w:t>
          </w:r>
          <w:r>
            <w:fldChar w:fldCharType="end"/>
          </w:r>
          <w:r>
            <w:rPr>
              <w:rFonts w:hint="eastAsia" w:ascii="Times New Roman" w:hAnsi="Times New Roman" w:eastAsia="宋体" w:cstheme="minorBidi"/>
              <w:kern w:val="2"/>
              <w:szCs w:val="24"/>
              <w:lang w:val="en-US" w:eastAsia="zh-CN" w:bidi="ar-SA"/>
            </w:rPr>
            <w:fldChar w:fldCharType="end"/>
          </w:r>
        </w:p>
        <w:p w14:paraId="1C26922A">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_Toc30615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3.1 </w:t>
          </w:r>
          <w:r>
            <w:t>农田基础设施建设工程规划</w:t>
          </w:r>
          <w:r>
            <w:tab/>
          </w:r>
          <w:r>
            <w:fldChar w:fldCharType="begin"/>
          </w:r>
          <w:r>
            <w:instrText xml:space="preserve"> PAGEREF _Toc30615 \h </w:instrText>
          </w:r>
          <w:r>
            <w:fldChar w:fldCharType="separate"/>
          </w:r>
          <w:r>
            <w:t>30</w:t>
          </w:r>
          <w:r>
            <w:fldChar w:fldCharType="end"/>
          </w:r>
          <w:r>
            <w:rPr>
              <w:rFonts w:hint="eastAsia" w:ascii="Times New Roman" w:hAnsi="Times New Roman" w:eastAsia="宋体" w:cstheme="minorBidi"/>
              <w:kern w:val="2"/>
              <w:szCs w:val="24"/>
              <w:lang w:val="en-US" w:eastAsia="zh-CN" w:bidi="ar-SA"/>
            </w:rPr>
            <w:fldChar w:fldCharType="end"/>
          </w:r>
        </w:p>
        <w:p w14:paraId="653219ED">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_Toc31219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第四章  </w:t>
          </w:r>
          <w:r>
            <w:t>农田基础设施建设工程设计</w:t>
          </w:r>
          <w:r>
            <w:tab/>
          </w:r>
          <w:r>
            <w:fldChar w:fldCharType="begin"/>
          </w:r>
          <w:r>
            <w:instrText xml:space="preserve"> PAGEREF _Toc31219 \h </w:instrText>
          </w:r>
          <w:r>
            <w:fldChar w:fldCharType="separate"/>
          </w:r>
          <w:r>
            <w:t>33</w:t>
          </w:r>
          <w:r>
            <w:fldChar w:fldCharType="end"/>
          </w:r>
          <w:r>
            <w:rPr>
              <w:rFonts w:hint="eastAsia" w:ascii="Times New Roman" w:hAnsi="Times New Roman" w:eastAsia="宋体" w:cstheme="minorBidi"/>
              <w:kern w:val="2"/>
              <w:szCs w:val="24"/>
              <w:lang w:val="en-US" w:eastAsia="zh-CN" w:bidi="ar-SA"/>
            </w:rPr>
            <w:fldChar w:fldCharType="end"/>
          </w:r>
        </w:p>
        <w:p w14:paraId="456E1E4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_Toc9618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4.1 田块整治工程</w:t>
          </w:r>
          <w:r>
            <w:t>设计</w:t>
          </w:r>
          <w:r>
            <w:tab/>
          </w:r>
          <w:r>
            <w:fldChar w:fldCharType="begin"/>
          </w:r>
          <w:r>
            <w:instrText xml:space="preserve"> PAGEREF _Toc9618 \h </w:instrText>
          </w:r>
          <w:r>
            <w:fldChar w:fldCharType="separate"/>
          </w:r>
          <w:r>
            <w:t>33</w:t>
          </w:r>
          <w:r>
            <w:fldChar w:fldCharType="end"/>
          </w:r>
          <w:r>
            <w:rPr>
              <w:rFonts w:hint="eastAsia" w:ascii="Times New Roman" w:hAnsi="Times New Roman" w:eastAsia="宋体" w:cstheme="minorBidi"/>
              <w:kern w:val="2"/>
              <w:szCs w:val="24"/>
              <w:lang w:val="en-US" w:eastAsia="zh-CN" w:bidi="ar-SA"/>
            </w:rPr>
            <w:fldChar w:fldCharType="end"/>
          </w:r>
        </w:p>
        <w:p w14:paraId="27A413B3">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_Toc23181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4.2 </w:t>
          </w:r>
          <w:r>
            <w:t>灌溉与排水工程设计</w:t>
          </w:r>
          <w:r>
            <w:tab/>
          </w:r>
          <w:r>
            <w:fldChar w:fldCharType="begin"/>
          </w:r>
          <w:r>
            <w:instrText xml:space="preserve"> PAGEREF _Toc23181 \h </w:instrText>
          </w:r>
          <w:r>
            <w:fldChar w:fldCharType="separate"/>
          </w:r>
          <w:r>
            <w:t>33</w:t>
          </w:r>
          <w:r>
            <w:fldChar w:fldCharType="end"/>
          </w:r>
          <w:r>
            <w:rPr>
              <w:rFonts w:hint="eastAsia" w:ascii="Times New Roman" w:hAnsi="Times New Roman" w:eastAsia="宋体" w:cstheme="minorBidi"/>
              <w:kern w:val="2"/>
              <w:szCs w:val="24"/>
              <w:lang w:val="en-US" w:eastAsia="zh-CN" w:bidi="ar-SA"/>
            </w:rPr>
            <w:fldChar w:fldCharType="end"/>
          </w:r>
        </w:p>
        <w:p w14:paraId="1C0DCB99">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_Toc25674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4.3 </w:t>
          </w:r>
          <w:r>
            <w:t>田间道路工程设计</w:t>
          </w:r>
          <w:r>
            <w:tab/>
          </w:r>
          <w:r>
            <w:fldChar w:fldCharType="begin"/>
          </w:r>
          <w:r>
            <w:instrText xml:space="preserve"> PAGEREF _Toc25674 \h </w:instrText>
          </w:r>
          <w:r>
            <w:fldChar w:fldCharType="separate"/>
          </w:r>
          <w:r>
            <w:t>40</w:t>
          </w:r>
          <w:r>
            <w:fldChar w:fldCharType="end"/>
          </w:r>
          <w:r>
            <w:rPr>
              <w:rFonts w:hint="eastAsia" w:ascii="Times New Roman" w:hAnsi="Times New Roman" w:eastAsia="宋体" w:cstheme="minorBidi"/>
              <w:kern w:val="2"/>
              <w:szCs w:val="24"/>
              <w:lang w:val="en-US" w:eastAsia="zh-CN" w:bidi="ar-SA"/>
            </w:rPr>
            <w:fldChar w:fldCharType="end"/>
          </w:r>
        </w:p>
        <w:p w14:paraId="4F23DE23">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_Toc7291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4.4 </w:t>
          </w:r>
          <w:r>
            <w:t>工程建设内容汇总</w:t>
          </w:r>
          <w:r>
            <w:tab/>
          </w:r>
          <w:r>
            <w:fldChar w:fldCharType="begin"/>
          </w:r>
          <w:r>
            <w:instrText xml:space="preserve"> PAGEREF _Toc7291 \h </w:instrText>
          </w:r>
          <w:r>
            <w:fldChar w:fldCharType="separate"/>
          </w:r>
          <w:r>
            <w:t>42</w:t>
          </w:r>
          <w:r>
            <w:fldChar w:fldCharType="end"/>
          </w:r>
          <w:r>
            <w:rPr>
              <w:rFonts w:hint="eastAsia" w:ascii="Times New Roman" w:hAnsi="Times New Roman" w:eastAsia="宋体" w:cstheme="minorBidi"/>
              <w:kern w:val="2"/>
              <w:szCs w:val="24"/>
              <w:lang w:val="en-US" w:eastAsia="zh-CN" w:bidi="ar-SA"/>
            </w:rPr>
            <w:fldChar w:fldCharType="end"/>
          </w:r>
        </w:p>
        <w:p w14:paraId="65AC4E89">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_Toc17757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第五章  施工组织设计</w:t>
          </w:r>
          <w:r>
            <w:tab/>
          </w:r>
          <w:r>
            <w:fldChar w:fldCharType="begin"/>
          </w:r>
          <w:r>
            <w:instrText xml:space="preserve"> PAGEREF _Toc17757 \h </w:instrText>
          </w:r>
          <w:r>
            <w:fldChar w:fldCharType="separate"/>
          </w:r>
          <w:r>
            <w:t>45</w:t>
          </w:r>
          <w:r>
            <w:fldChar w:fldCharType="end"/>
          </w:r>
          <w:r>
            <w:rPr>
              <w:rFonts w:hint="eastAsia" w:ascii="Times New Roman" w:hAnsi="Times New Roman" w:eastAsia="宋体" w:cstheme="minorBidi"/>
              <w:kern w:val="2"/>
              <w:szCs w:val="24"/>
              <w:lang w:val="en-US" w:eastAsia="zh-CN" w:bidi="ar-SA"/>
            </w:rPr>
            <w:fldChar w:fldCharType="end"/>
          </w:r>
        </w:p>
        <w:p w14:paraId="42F3F82D">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_Toc8519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5.1 </w:t>
          </w:r>
          <w:r>
            <w:rPr>
              <w:rFonts w:hint="default"/>
            </w:rPr>
            <w:t>施工条件</w:t>
          </w:r>
          <w:r>
            <w:tab/>
          </w:r>
          <w:r>
            <w:fldChar w:fldCharType="begin"/>
          </w:r>
          <w:r>
            <w:instrText xml:space="preserve"> PAGEREF _Toc8519 \h </w:instrText>
          </w:r>
          <w:r>
            <w:fldChar w:fldCharType="separate"/>
          </w:r>
          <w:r>
            <w:t>45</w:t>
          </w:r>
          <w:r>
            <w:fldChar w:fldCharType="end"/>
          </w:r>
          <w:r>
            <w:rPr>
              <w:rFonts w:hint="eastAsia" w:ascii="Times New Roman" w:hAnsi="Times New Roman" w:eastAsia="宋体" w:cstheme="minorBidi"/>
              <w:kern w:val="2"/>
              <w:szCs w:val="24"/>
              <w:lang w:val="en-US" w:eastAsia="zh-CN" w:bidi="ar-SA"/>
            </w:rPr>
            <w:fldChar w:fldCharType="end"/>
          </w:r>
        </w:p>
        <w:p w14:paraId="74E872E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_Toc26894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5.2 </w:t>
          </w:r>
          <w:r>
            <w:rPr>
              <w:rFonts w:hint="default"/>
            </w:rPr>
            <w:t>施工总布置</w:t>
          </w:r>
          <w:r>
            <w:tab/>
          </w:r>
          <w:r>
            <w:fldChar w:fldCharType="begin"/>
          </w:r>
          <w:r>
            <w:instrText xml:space="preserve"> PAGEREF _Toc26894 \h </w:instrText>
          </w:r>
          <w:r>
            <w:fldChar w:fldCharType="separate"/>
          </w:r>
          <w:r>
            <w:t>46</w:t>
          </w:r>
          <w:r>
            <w:fldChar w:fldCharType="end"/>
          </w:r>
          <w:r>
            <w:rPr>
              <w:rFonts w:hint="eastAsia" w:ascii="Times New Roman" w:hAnsi="Times New Roman" w:eastAsia="宋体" w:cstheme="minorBidi"/>
              <w:kern w:val="2"/>
              <w:szCs w:val="24"/>
              <w:lang w:val="en-US" w:eastAsia="zh-CN" w:bidi="ar-SA"/>
            </w:rPr>
            <w:fldChar w:fldCharType="end"/>
          </w:r>
        </w:p>
        <w:p w14:paraId="13B3920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_Toc8598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5.3 </w:t>
          </w:r>
          <w:r>
            <w:rPr>
              <w:rFonts w:hint="default"/>
            </w:rPr>
            <w:t>主要工程施工方法</w:t>
          </w:r>
          <w:r>
            <w:tab/>
          </w:r>
          <w:r>
            <w:fldChar w:fldCharType="begin"/>
          </w:r>
          <w:r>
            <w:instrText xml:space="preserve"> PAGEREF _Toc8598 \h </w:instrText>
          </w:r>
          <w:r>
            <w:fldChar w:fldCharType="separate"/>
          </w:r>
          <w:r>
            <w:t>49</w:t>
          </w:r>
          <w:r>
            <w:fldChar w:fldCharType="end"/>
          </w:r>
          <w:r>
            <w:rPr>
              <w:rFonts w:hint="eastAsia" w:ascii="Times New Roman" w:hAnsi="Times New Roman" w:eastAsia="宋体" w:cstheme="minorBidi"/>
              <w:kern w:val="2"/>
              <w:szCs w:val="24"/>
              <w:lang w:val="en-US" w:eastAsia="zh-CN" w:bidi="ar-SA"/>
            </w:rPr>
            <w:fldChar w:fldCharType="end"/>
          </w:r>
        </w:p>
        <w:p w14:paraId="11D8347F">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_Toc8468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5.4 </w:t>
          </w:r>
          <w:r>
            <w:rPr>
              <w:rFonts w:hint="default"/>
            </w:rPr>
            <w:t>施工总进度安排</w:t>
          </w:r>
          <w:r>
            <w:tab/>
          </w:r>
          <w:r>
            <w:fldChar w:fldCharType="begin"/>
          </w:r>
          <w:r>
            <w:instrText xml:space="preserve"> PAGEREF _Toc8468 \h </w:instrText>
          </w:r>
          <w:r>
            <w:fldChar w:fldCharType="separate"/>
          </w:r>
          <w:r>
            <w:t>54</w:t>
          </w:r>
          <w:r>
            <w:fldChar w:fldCharType="end"/>
          </w:r>
          <w:r>
            <w:rPr>
              <w:rFonts w:hint="eastAsia" w:ascii="Times New Roman" w:hAnsi="Times New Roman" w:eastAsia="宋体" w:cstheme="minorBidi"/>
              <w:kern w:val="2"/>
              <w:szCs w:val="24"/>
              <w:lang w:val="en-US" w:eastAsia="zh-CN" w:bidi="ar-SA"/>
            </w:rPr>
            <w:fldChar w:fldCharType="end"/>
          </w:r>
        </w:p>
        <w:p w14:paraId="10C2B692">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_Toc23882 </w:instrText>
          </w:r>
          <w:r>
            <w:rPr>
              <w:rFonts w:hint="eastAsia" w:ascii="Times New Roman" w:hAnsi="Times New Roman" w:eastAsia="宋体" w:cstheme="minorBidi"/>
              <w:kern w:val="2"/>
              <w:szCs w:val="24"/>
              <w:lang w:val="en-US" w:eastAsia="zh-CN" w:bidi="ar-SA"/>
            </w:rPr>
            <w:fldChar w:fldCharType="separate"/>
          </w:r>
          <w:r>
            <w:rPr>
              <w:lang w:val="en-US" w:eastAsia="zh-CN"/>
            </w:rPr>
            <w:t>第</w:t>
          </w:r>
          <w:r>
            <w:rPr>
              <w:rFonts w:hint="eastAsia"/>
              <w:lang w:val="en-US" w:eastAsia="zh-CN"/>
            </w:rPr>
            <w:t>六</w:t>
          </w:r>
          <w:r>
            <w:rPr>
              <w:lang w:val="en-US" w:eastAsia="zh-CN"/>
            </w:rPr>
            <w:t>章</w:t>
          </w:r>
          <w:r>
            <w:rPr>
              <w:rFonts w:hint="eastAsia"/>
              <w:lang w:val="en-US" w:eastAsia="zh-CN"/>
            </w:rPr>
            <w:t xml:space="preserve"> </w:t>
          </w:r>
          <w:r>
            <w:rPr>
              <w:lang w:val="en-US" w:eastAsia="zh-CN"/>
            </w:rPr>
            <w:t xml:space="preserve"> 环境保护与安全防护设计</w:t>
          </w:r>
          <w:r>
            <w:tab/>
          </w:r>
          <w:r>
            <w:fldChar w:fldCharType="begin"/>
          </w:r>
          <w:r>
            <w:instrText xml:space="preserve"> PAGEREF _Toc23882 \h </w:instrText>
          </w:r>
          <w:r>
            <w:fldChar w:fldCharType="separate"/>
          </w:r>
          <w:r>
            <w:t>55</w:t>
          </w:r>
          <w:r>
            <w:fldChar w:fldCharType="end"/>
          </w:r>
          <w:r>
            <w:rPr>
              <w:rFonts w:hint="eastAsia" w:ascii="Times New Roman" w:hAnsi="Times New Roman" w:eastAsia="宋体" w:cstheme="minorBidi"/>
              <w:kern w:val="2"/>
              <w:szCs w:val="24"/>
              <w:lang w:val="en-US" w:eastAsia="zh-CN" w:bidi="ar-SA"/>
            </w:rPr>
            <w:fldChar w:fldCharType="end"/>
          </w:r>
        </w:p>
        <w:p w14:paraId="006CBAF3">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_Toc5826 </w:instrText>
          </w:r>
          <w:r>
            <w:rPr>
              <w:rFonts w:hint="eastAsia" w:ascii="Times New Roman" w:hAnsi="Times New Roman" w:eastAsia="宋体" w:cstheme="minorBidi"/>
              <w:kern w:val="2"/>
              <w:szCs w:val="24"/>
              <w:lang w:val="en-US" w:eastAsia="zh-CN" w:bidi="ar-SA"/>
            </w:rPr>
            <w:fldChar w:fldCharType="separate"/>
          </w:r>
          <w:r>
            <w:rPr>
              <w:rFonts w:hint="eastAsia"/>
              <w:bCs/>
              <w:lang w:val="en-US" w:eastAsia="zh-CN"/>
            </w:rPr>
            <w:t>6.1 环境保护措施</w:t>
          </w:r>
          <w:r>
            <w:tab/>
          </w:r>
          <w:r>
            <w:fldChar w:fldCharType="begin"/>
          </w:r>
          <w:r>
            <w:instrText xml:space="preserve"> PAGEREF _Toc5826 \h </w:instrText>
          </w:r>
          <w:r>
            <w:fldChar w:fldCharType="separate"/>
          </w:r>
          <w:r>
            <w:t>55</w:t>
          </w:r>
          <w:r>
            <w:fldChar w:fldCharType="end"/>
          </w:r>
          <w:r>
            <w:rPr>
              <w:rFonts w:hint="eastAsia" w:ascii="Times New Roman" w:hAnsi="Times New Roman" w:eastAsia="宋体" w:cstheme="minorBidi"/>
              <w:kern w:val="2"/>
              <w:szCs w:val="24"/>
              <w:lang w:val="en-US" w:eastAsia="zh-CN" w:bidi="ar-SA"/>
            </w:rPr>
            <w:fldChar w:fldCharType="end"/>
          </w:r>
        </w:p>
        <w:p w14:paraId="7EDECC1D">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_Toc1402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6.2 水土流失防治措施</w:t>
          </w:r>
          <w:r>
            <w:tab/>
          </w:r>
          <w:r>
            <w:fldChar w:fldCharType="begin"/>
          </w:r>
          <w:r>
            <w:instrText xml:space="preserve"> PAGEREF _Toc1402 \h </w:instrText>
          </w:r>
          <w:r>
            <w:fldChar w:fldCharType="separate"/>
          </w:r>
          <w:r>
            <w:t>62</w:t>
          </w:r>
          <w:r>
            <w:fldChar w:fldCharType="end"/>
          </w:r>
          <w:r>
            <w:rPr>
              <w:rFonts w:hint="eastAsia" w:ascii="Times New Roman" w:hAnsi="Times New Roman" w:eastAsia="宋体" w:cstheme="minorBidi"/>
              <w:kern w:val="2"/>
              <w:szCs w:val="24"/>
              <w:lang w:val="en-US" w:eastAsia="zh-CN" w:bidi="ar-SA"/>
            </w:rPr>
            <w:fldChar w:fldCharType="end"/>
          </w:r>
        </w:p>
        <w:p w14:paraId="5100A11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_Toc30626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6</w:t>
          </w:r>
          <w:r>
            <w:rPr>
              <w:lang w:val="en-US" w:eastAsia="zh-CN"/>
            </w:rPr>
            <w:t xml:space="preserve">.3 </w:t>
          </w:r>
          <w:r>
            <w:rPr>
              <w:rFonts w:hint="eastAsia"/>
              <w:lang w:val="en-US" w:eastAsia="zh-CN"/>
            </w:rPr>
            <w:t>安全防护措施</w:t>
          </w:r>
          <w:r>
            <w:tab/>
          </w:r>
          <w:r>
            <w:fldChar w:fldCharType="begin"/>
          </w:r>
          <w:r>
            <w:instrText xml:space="preserve"> PAGEREF _Toc30626 \h </w:instrText>
          </w:r>
          <w:r>
            <w:fldChar w:fldCharType="separate"/>
          </w:r>
          <w:r>
            <w:t>64</w:t>
          </w:r>
          <w:r>
            <w:fldChar w:fldCharType="end"/>
          </w:r>
          <w:r>
            <w:rPr>
              <w:rFonts w:hint="eastAsia" w:ascii="Times New Roman" w:hAnsi="Times New Roman" w:eastAsia="宋体" w:cstheme="minorBidi"/>
              <w:kern w:val="2"/>
              <w:szCs w:val="24"/>
              <w:lang w:val="en-US" w:eastAsia="zh-CN" w:bidi="ar-SA"/>
            </w:rPr>
            <w:fldChar w:fldCharType="end"/>
          </w:r>
        </w:p>
        <w:p w14:paraId="6BA8F308">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_Toc30509 </w:instrText>
          </w:r>
          <w:r>
            <w:rPr>
              <w:rFonts w:hint="eastAsia" w:ascii="Times New Roman" w:hAnsi="Times New Roman" w:eastAsia="宋体" w:cstheme="minorBidi"/>
              <w:kern w:val="2"/>
              <w:szCs w:val="24"/>
              <w:lang w:val="en-US" w:eastAsia="zh-CN" w:bidi="ar-SA"/>
            </w:rPr>
            <w:fldChar w:fldCharType="separate"/>
          </w:r>
          <w:r>
            <w:rPr>
              <w:lang w:val="en-US" w:eastAsia="zh-CN"/>
            </w:rPr>
            <w:t>第</w:t>
          </w:r>
          <w:r>
            <w:rPr>
              <w:rFonts w:hint="eastAsia"/>
              <w:lang w:val="en-US" w:eastAsia="zh-CN"/>
            </w:rPr>
            <w:t>七</w:t>
          </w:r>
          <w:r>
            <w:rPr>
              <w:lang w:val="en-US" w:eastAsia="zh-CN"/>
            </w:rPr>
            <w:t xml:space="preserve">章 </w:t>
          </w:r>
          <w:r>
            <w:rPr>
              <w:rFonts w:hint="eastAsia"/>
              <w:lang w:val="en-US" w:eastAsia="zh-CN"/>
            </w:rPr>
            <w:t xml:space="preserve"> </w:t>
          </w:r>
          <w:r>
            <w:rPr>
              <w:lang w:val="en-US" w:eastAsia="zh-CN"/>
            </w:rPr>
            <w:t>投资概算与资金筹措</w:t>
          </w:r>
          <w:r>
            <w:tab/>
          </w:r>
          <w:r>
            <w:fldChar w:fldCharType="begin"/>
          </w:r>
          <w:r>
            <w:instrText xml:space="preserve"> PAGEREF _Toc30509 \h </w:instrText>
          </w:r>
          <w:r>
            <w:fldChar w:fldCharType="separate"/>
          </w:r>
          <w:r>
            <w:t>75</w:t>
          </w:r>
          <w:r>
            <w:fldChar w:fldCharType="end"/>
          </w:r>
          <w:r>
            <w:rPr>
              <w:rFonts w:hint="eastAsia" w:ascii="Times New Roman" w:hAnsi="Times New Roman" w:eastAsia="宋体" w:cstheme="minorBidi"/>
              <w:kern w:val="2"/>
              <w:szCs w:val="24"/>
              <w:lang w:val="en-US" w:eastAsia="zh-CN" w:bidi="ar-SA"/>
            </w:rPr>
            <w:fldChar w:fldCharType="end"/>
          </w:r>
        </w:p>
        <w:p w14:paraId="46D26941">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_Toc952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7.1 编制依据和编制说明</w:t>
          </w:r>
          <w:r>
            <w:tab/>
          </w:r>
          <w:r>
            <w:fldChar w:fldCharType="begin"/>
          </w:r>
          <w:r>
            <w:instrText xml:space="preserve"> PAGEREF _Toc952 \h </w:instrText>
          </w:r>
          <w:r>
            <w:fldChar w:fldCharType="separate"/>
          </w:r>
          <w:r>
            <w:t>75</w:t>
          </w:r>
          <w:r>
            <w:fldChar w:fldCharType="end"/>
          </w:r>
          <w:r>
            <w:rPr>
              <w:rFonts w:hint="eastAsia" w:ascii="Times New Roman" w:hAnsi="Times New Roman" w:eastAsia="宋体" w:cstheme="minorBidi"/>
              <w:kern w:val="2"/>
              <w:szCs w:val="24"/>
              <w:lang w:val="en-US" w:eastAsia="zh-CN" w:bidi="ar-SA"/>
            </w:rPr>
            <w:fldChar w:fldCharType="end"/>
          </w:r>
        </w:p>
        <w:p w14:paraId="4840146E">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_Toc21764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7.2 投资</w:t>
          </w:r>
          <w:r>
            <w:rPr>
              <w:rFonts w:hint="eastAsia"/>
              <w:lang w:eastAsia="zh-CN"/>
            </w:rPr>
            <w:t>概算</w:t>
          </w:r>
          <w:r>
            <w:tab/>
          </w:r>
          <w:r>
            <w:fldChar w:fldCharType="begin"/>
          </w:r>
          <w:r>
            <w:instrText xml:space="preserve"> PAGEREF _Toc21764 \h </w:instrText>
          </w:r>
          <w:r>
            <w:fldChar w:fldCharType="separate"/>
          </w:r>
          <w:r>
            <w:t>80</w:t>
          </w:r>
          <w:r>
            <w:fldChar w:fldCharType="end"/>
          </w:r>
          <w:r>
            <w:rPr>
              <w:rFonts w:hint="eastAsia" w:ascii="Times New Roman" w:hAnsi="Times New Roman" w:eastAsia="宋体" w:cstheme="minorBidi"/>
              <w:kern w:val="2"/>
              <w:szCs w:val="24"/>
              <w:lang w:val="en-US" w:eastAsia="zh-CN" w:bidi="ar-SA"/>
            </w:rPr>
            <w:fldChar w:fldCharType="end"/>
          </w:r>
        </w:p>
        <w:p w14:paraId="449A38EE">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_Toc29445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7.3 资金筹措</w:t>
          </w:r>
          <w:r>
            <w:tab/>
          </w:r>
          <w:r>
            <w:fldChar w:fldCharType="begin"/>
          </w:r>
          <w:r>
            <w:instrText xml:space="preserve"> PAGEREF _Toc29445 \h </w:instrText>
          </w:r>
          <w:r>
            <w:fldChar w:fldCharType="separate"/>
          </w:r>
          <w:r>
            <w:t>81</w:t>
          </w:r>
          <w:r>
            <w:fldChar w:fldCharType="end"/>
          </w:r>
          <w:r>
            <w:rPr>
              <w:rFonts w:hint="eastAsia" w:ascii="Times New Roman" w:hAnsi="Times New Roman" w:eastAsia="宋体" w:cstheme="minorBidi"/>
              <w:kern w:val="2"/>
              <w:szCs w:val="24"/>
              <w:lang w:val="en-US" w:eastAsia="zh-CN" w:bidi="ar-SA"/>
            </w:rPr>
            <w:fldChar w:fldCharType="end"/>
          </w:r>
        </w:p>
        <w:p w14:paraId="692B9E67">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_Toc16192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第八章  效益分析</w:t>
          </w:r>
          <w:r>
            <w:tab/>
          </w:r>
          <w:r>
            <w:fldChar w:fldCharType="begin"/>
          </w:r>
          <w:r>
            <w:instrText xml:space="preserve"> PAGEREF _Toc16192 \h </w:instrText>
          </w:r>
          <w:r>
            <w:fldChar w:fldCharType="separate"/>
          </w:r>
          <w:r>
            <w:t>82</w:t>
          </w:r>
          <w:r>
            <w:fldChar w:fldCharType="end"/>
          </w:r>
          <w:r>
            <w:rPr>
              <w:rFonts w:hint="eastAsia" w:ascii="Times New Roman" w:hAnsi="Times New Roman" w:eastAsia="宋体" w:cstheme="minorBidi"/>
              <w:kern w:val="2"/>
              <w:szCs w:val="24"/>
              <w:lang w:val="en-US" w:eastAsia="zh-CN" w:bidi="ar-SA"/>
            </w:rPr>
            <w:fldChar w:fldCharType="end"/>
          </w:r>
        </w:p>
        <w:p w14:paraId="40E2B5B5">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_Toc5129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8.1 </w:t>
          </w:r>
          <w:r>
            <w:t>农业生产条件改善及生态环境效益</w:t>
          </w:r>
          <w:r>
            <w:tab/>
          </w:r>
          <w:r>
            <w:fldChar w:fldCharType="begin"/>
          </w:r>
          <w:r>
            <w:instrText xml:space="preserve"> PAGEREF _Toc5129 \h </w:instrText>
          </w:r>
          <w:r>
            <w:fldChar w:fldCharType="separate"/>
          </w:r>
          <w:r>
            <w:t>82</w:t>
          </w:r>
          <w:r>
            <w:fldChar w:fldCharType="end"/>
          </w:r>
          <w:r>
            <w:rPr>
              <w:rFonts w:hint="eastAsia" w:ascii="Times New Roman" w:hAnsi="Times New Roman" w:eastAsia="宋体" w:cstheme="minorBidi"/>
              <w:kern w:val="2"/>
              <w:szCs w:val="24"/>
              <w:lang w:val="en-US" w:eastAsia="zh-CN" w:bidi="ar-SA"/>
            </w:rPr>
            <w:fldChar w:fldCharType="end"/>
          </w:r>
        </w:p>
        <w:p w14:paraId="4FF8271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_Toc9398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8.2 </w:t>
          </w:r>
          <w:r>
            <w:t>经济效益</w:t>
          </w:r>
          <w:r>
            <w:tab/>
          </w:r>
          <w:r>
            <w:fldChar w:fldCharType="begin"/>
          </w:r>
          <w:r>
            <w:instrText xml:space="preserve"> PAGEREF _Toc9398 \h </w:instrText>
          </w:r>
          <w:r>
            <w:fldChar w:fldCharType="separate"/>
          </w:r>
          <w:r>
            <w:t>83</w:t>
          </w:r>
          <w:r>
            <w:fldChar w:fldCharType="end"/>
          </w:r>
          <w:r>
            <w:rPr>
              <w:rFonts w:hint="eastAsia" w:ascii="Times New Roman" w:hAnsi="Times New Roman" w:eastAsia="宋体" w:cstheme="minorBidi"/>
              <w:kern w:val="2"/>
              <w:szCs w:val="24"/>
              <w:lang w:val="en-US" w:eastAsia="zh-CN" w:bidi="ar-SA"/>
            </w:rPr>
            <w:fldChar w:fldCharType="end"/>
          </w:r>
        </w:p>
        <w:p w14:paraId="61993C0E">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_Toc21320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8.3 </w:t>
          </w:r>
          <w:r>
            <w:t>社会效益</w:t>
          </w:r>
          <w:r>
            <w:tab/>
          </w:r>
          <w:r>
            <w:fldChar w:fldCharType="begin"/>
          </w:r>
          <w:r>
            <w:instrText xml:space="preserve"> PAGEREF _Toc21320 \h </w:instrText>
          </w:r>
          <w:r>
            <w:fldChar w:fldCharType="separate"/>
          </w:r>
          <w:r>
            <w:t>84</w:t>
          </w:r>
          <w:r>
            <w:fldChar w:fldCharType="end"/>
          </w:r>
          <w:r>
            <w:rPr>
              <w:rFonts w:hint="eastAsia" w:ascii="Times New Roman" w:hAnsi="Times New Roman" w:eastAsia="宋体" w:cstheme="minorBidi"/>
              <w:kern w:val="2"/>
              <w:szCs w:val="24"/>
              <w:lang w:val="en-US" w:eastAsia="zh-CN" w:bidi="ar-SA"/>
            </w:rPr>
            <w:fldChar w:fldCharType="end"/>
          </w:r>
        </w:p>
        <w:p w14:paraId="6A94BD6F">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_Toc15543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 xml:space="preserve">8.4 </w:t>
          </w:r>
          <w:r>
            <w:t>其他效益</w:t>
          </w:r>
          <w:r>
            <w:tab/>
          </w:r>
          <w:r>
            <w:fldChar w:fldCharType="begin"/>
          </w:r>
          <w:r>
            <w:instrText xml:space="preserve"> PAGEREF _Toc15543 \h </w:instrText>
          </w:r>
          <w:r>
            <w:fldChar w:fldCharType="separate"/>
          </w:r>
          <w:r>
            <w:t>85</w:t>
          </w:r>
          <w:r>
            <w:fldChar w:fldCharType="end"/>
          </w:r>
          <w:r>
            <w:rPr>
              <w:rFonts w:hint="eastAsia" w:ascii="Times New Roman" w:hAnsi="Times New Roman" w:eastAsia="宋体" w:cstheme="minorBidi"/>
              <w:kern w:val="2"/>
              <w:szCs w:val="24"/>
              <w:lang w:val="en-US" w:eastAsia="zh-CN" w:bidi="ar-SA"/>
            </w:rPr>
            <w:fldChar w:fldCharType="end"/>
          </w:r>
        </w:p>
        <w:p w14:paraId="394CDFA6">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_Toc7211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第九章  实施管理</w:t>
          </w:r>
          <w:r>
            <w:tab/>
          </w:r>
          <w:r>
            <w:fldChar w:fldCharType="begin"/>
          </w:r>
          <w:r>
            <w:instrText xml:space="preserve"> PAGEREF _Toc7211 \h </w:instrText>
          </w:r>
          <w:r>
            <w:fldChar w:fldCharType="separate"/>
          </w:r>
          <w:r>
            <w:t>88</w:t>
          </w:r>
          <w:r>
            <w:fldChar w:fldCharType="end"/>
          </w:r>
          <w:r>
            <w:rPr>
              <w:rFonts w:hint="eastAsia" w:ascii="Times New Roman" w:hAnsi="Times New Roman" w:eastAsia="宋体" w:cstheme="minorBidi"/>
              <w:kern w:val="2"/>
              <w:szCs w:val="24"/>
              <w:lang w:val="en-US" w:eastAsia="zh-CN" w:bidi="ar-SA"/>
            </w:rPr>
            <w:fldChar w:fldCharType="end"/>
          </w:r>
        </w:p>
        <w:p w14:paraId="200C4C73">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_Toc30972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9</w:t>
          </w:r>
          <w:r>
            <w:rPr>
              <w:lang w:val="en-US" w:eastAsia="zh-CN"/>
            </w:rPr>
            <w:t xml:space="preserve">.1 </w:t>
          </w:r>
          <w:r>
            <w:rPr>
              <w:rFonts w:hint="eastAsia"/>
              <w:lang w:val="en-US" w:eastAsia="zh-CN"/>
            </w:rPr>
            <w:t>管理机构</w:t>
          </w:r>
          <w:r>
            <w:tab/>
          </w:r>
          <w:r>
            <w:fldChar w:fldCharType="begin"/>
          </w:r>
          <w:r>
            <w:instrText xml:space="preserve"> PAGEREF _Toc30972 \h </w:instrText>
          </w:r>
          <w:r>
            <w:fldChar w:fldCharType="separate"/>
          </w:r>
          <w:r>
            <w:t>88</w:t>
          </w:r>
          <w:r>
            <w:fldChar w:fldCharType="end"/>
          </w:r>
          <w:r>
            <w:rPr>
              <w:rFonts w:hint="eastAsia" w:ascii="Times New Roman" w:hAnsi="Times New Roman" w:eastAsia="宋体" w:cstheme="minorBidi"/>
              <w:kern w:val="2"/>
              <w:szCs w:val="24"/>
              <w:lang w:val="en-US" w:eastAsia="zh-CN" w:bidi="ar-SA"/>
            </w:rPr>
            <w:fldChar w:fldCharType="end"/>
          </w:r>
        </w:p>
        <w:p w14:paraId="780EC25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_Toc17841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9</w:t>
          </w:r>
          <w:r>
            <w:rPr>
              <w:lang w:val="en-US" w:eastAsia="zh-CN"/>
            </w:rPr>
            <w:t xml:space="preserve">.2 </w:t>
          </w:r>
          <w:r>
            <w:rPr>
              <w:rFonts w:hint="eastAsia"/>
              <w:lang w:val="en-US" w:eastAsia="zh-CN"/>
            </w:rPr>
            <w:t>管理制度与措施</w:t>
          </w:r>
          <w:r>
            <w:tab/>
          </w:r>
          <w:r>
            <w:fldChar w:fldCharType="begin"/>
          </w:r>
          <w:r>
            <w:instrText xml:space="preserve"> PAGEREF _Toc17841 \h </w:instrText>
          </w:r>
          <w:r>
            <w:fldChar w:fldCharType="separate"/>
          </w:r>
          <w:r>
            <w:t>88</w:t>
          </w:r>
          <w:r>
            <w:fldChar w:fldCharType="end"/>
          </w:r>
          <w:r>
            <w:rPr>
              <w:rFonts w:hint="eastAsia" w:ascii="Times New Roman" w:hAnsi="Times New Roman" w:eastAsia="宋体" w:cstheme="minorBidi"/>
              <w:kern w:val="2"/>
              <w:szCs w:val="24"/>
              <w:lang w:val="en-US" w:eastAsia="zh-CN" w:bidi="ar-SA"/>
            </w:rPr>
            <w:fldChar w:fldCharType="end"/>
          </w:r>
        </w:p>
        <w:p w14:paraId="19E68A96">
          <w:pPr>
            <w:pStyle w:val="13"/>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_Toc30730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第十章  建后管护与利用</w:t>
          </w:r>
          <w:r>
            <w:tab/>
          </w:r>
          <w:r>
            <w:fldChar w:fldCharType="begin"/>
          </w:r>
          <w:r>
            <w:instrText xml:space="preserve"> PAGEREF _Toc30730 \h </w:instrText>
          </w:r>
          <w:r>
            <w:fldChar w:fldCharType="separate"/>
          </w:r>
          <w:r>
            <w:t>95</w:t>
          </w:r>
          <w:r>
            <w:fldChar w:fldCharType="end"/>
          </w:r>
          <w:r>
            <w:rPr>
              <w:rFonts w:hint="eastAsia" w:ascii="Times New Roman" w:hAnsi="Times New Roman" w:eastAsia="宋体" w:cstheme="minorBidi"/>
              <w:kern w:val="2"/>
              <w:szCs w:val="24"/>
              <w:lang w:val="en-US" w:eastAsia="zh-CN" w:bidi="ar-SA"/>
            </w:rPr>
            <w:fldChar w:fldCharType="end"/>
          </w:r>
        </w:p>
        <w:p w14:paraId="37A9D08F">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firstLine="0" w:firstLineChars="0"/>
            <w:textAlignment w:val="auto"/>
          </w:pPr>
          <w:r>
            <w:rPr>
              <w:rFonts w:hint="eastAsia" w:ascii="Times New Roman" w:hAnsi="Times New Roman" w:eastAsia="宋体" w:cstheme="minorBidi"/>
              <w:kern w:val="2"/>
              <w:szCs w:val="24"/>
              <w:lang w:val="en-US" w:eastAsia="zh-CN" w:bidi="ar-SA"/>
            </w:rPr>
            <w:fldChar w:fldCharType="begin"/>
          </w:r>
          <w:r>
            <w:rPr>
              <w:rFonts w:hint="eastAsia" w:ascii="Times New Roman" w:hAnsi="Times New Roman" w:eastAsia="宋体" w:cstheme="minorBidi"/>
              <w:kern w:val="2"/>
              <w:szCs w:val="24"/>
              <w:lang w:val="en-US" w:eastAsia="zh-CN" w:bidi="ar-SA"/>
            </w:rPr>
            <w:instrText xml:space="preserve"> HYPERLINK \l _Toc4549 </w:instrText>
          </w:r>
          <w:r>
            <w:rPr>
              <w:rFonts w:hint="eastAsia" w:ascii="Times New Roman" w:hAnsi="Times New Roman" w:eastAsia="宋体" w:cstheme="minorBidi"/>
              <w:kern w:val="2"/>
              <w:szCs w:val="24"/>
              <w:lang w:val="en-US" w:eastAsia="zh-CN" w:bidi="ar-SA"/>
            </w:rPr>
            <w:fldChar w:fldCharType="separate"/>
          </w:r>
          <w:r>
            <w:rPr>
              <w:rFonts w:hint="eastAsia"/>
              <w:lang w:val="en-US" w:eastAsia="zh-CN"/>
            </w:rPr>
            <w:t>10.1 建后管护</w:t>
          </w:r>
          <w:r>
            <w:tab/>
          </w:r>
          <w:r>
            <w:fldChar w:fldCharType="begin"/>
          </w:r>
          <w:r>
            <w:instrText xml:space="preserve"> PAGEREF _Toc4549 \h </w:instrText>
          </w:r>
          <w:r>
            <w:fldChar w:fldCharType="separate"/>
          </w:r>
          <w:r>
            <w:t>95</w:t>
          </w:r>
          <w:r>
            <w:fldChar w:fldCharType="end"/>
          </w:r>
          <w:r>
            <w:rPr>
              <w:rFonts w:hint="eastAsia" w:ascii="Times New Roman" w:hAnsi="Times New Roman" w:eastAsia="宋体" w:cstheme="minorBidi"/>
              <w:kern w:val="2"/>
              <w:szCs w:val="24"/>
              <w:lang w:val="en-US" w:eastAsia="zh-CN" w:bidi="ar-SA"/>
            </w:rPr>
            <w:fldChar w:fldCharType="end"/>
          </w:r>
        </w:p>
        <w:p w14:paraId="0DB7649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Times New Roman" w:hAnsi="Times New Roman" w:eastAsia="宋体" w:cstheme="minorBidi"/>
              <w:kern w:val="2"/>
              <w:sz w:val="24"/>
              <w:szCs w:val="24"/>
              <w:lang w:val="en-US" w:eastAsia="zh-CN" w:bidi="ar-SA"/>
            </w:rPr>
            <w:sectPr>
              <w:footerReference r:id="rId5" w:type="default"/>
              <w:pgSz w:w="11906" w:h="16838"/>
              <w:pgMar w:top="1100" w:right="1800" w:bottom="1100" w:left="1800" w:header="851" w:footer="567" w:gutter="0"/>
              <w:pgNumType w:fmt="upperRoman" w:start="1"/>
              <w:cols w:space="425" w:num="1"/>
              <w:docGrid w:type="lines" w:linePitch="312" w:charSpace="0"/>
            </w:sectPr>
          </w:pPr>
          <w:r>
            <w:rPr>
              <w:rFonts w:hint="eastAsia" w:ascii="Times New Roman" w:hAnsi="Times New Roman" w:eastAsia="宋体" w:cstheme="minorBidi"/>
              <w:kern w:val="2"/>
              <w:szCs w:val="24"/>
              <w:lang w:val="en-US" w:eastAsia="zh-CN" w:bidi="ar-SA"/>
            </w:rPr>
            <w:fldChar w:fldCharType="end"/>
          </w:r>
        </w:p>
      </w:sdtContent>
    </w:sdt>
    <w:p w14:paraId="0DAEAEF3">
      <w:pPr>
        <w:pStyle w:val="8"/>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0"/>
        <w:rPr>
          <w:rFonts w:hint="eastAsia"/>
          <w:b/>
          <w:bCs/>
          <w:sz w:val="30"/>
          <w:szCs w:val="30"/>
          <w:lang w:val="en-US" w:eastAsia="zh-CN"/>
        </w:rPr>
      </w:pPr>
      <w:bookmarkStart w:id="2" w:name="_Toc19598"/>
      <w:bookmarkStart w:id="3" w:name="_Toc16090"/>
      <w:bookmarkStart w:id="4" w:name="_Toc28492"/>
      <w:bookmarkStart w:id="5" w:name="_Toc18127"/>
      <w:bookmarkStart w:id="6" w:name="_Toc14111"/>
      <w:r>
        <w:rPr>
          <w:b/>
          <w:bCs/>
          <w:sz w:val="30"/>
          <w:szCs w:val="30"/>
        </w:rPr>
        <w:t>项目特性表</w:t>
      </w:r>
      <w:bookmarkEnd w:id="2"/>
      <w:bookmarkEnd w:id="3"/>
      <w:bookmarkEnd w:id="4"/>
      <w:bookmarkEnd w:id="5"/>
      <w:bookmarkEnd w:id="6"/>
    </w:p>
    <w:tbl>
      <w:tblPr>
        <w:tblStyle w:val="17"/>
        <w:tblW w:w="987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72"/>
        <w:gridCol w:w="2880"/>
        <w:gridCol w:w="972"/>
        <w:gridCol w:w="1044"/>
        <w:gridCol w:w="4446"/>
      </w:tblGrid>
      <w:tr w14:paraId="6D9E2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9" w:hRule="atLeast"/>
          <w:tblHeader/>
          <w:jc w:val="center"/>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A2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序号</w:t>
            </w:r>
          </w:p>
        </w:tc>
        <w:tc>
          <w:tcPr>
            <w:tcW w:w="2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E49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名   称</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B4A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单位</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175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数量</w:t>
            </w:r>
          </w:p>
        </w:tc>
        <w:tc>
          <w:tcPr>
            <w:tcW w:w="4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310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备注</w:t>
            </w:r>
          </w:p>
        </w:tc>
      </w:tr>
      <w:tr w14:paraId="3C5CF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DCE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D1D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项目区基本情况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D674B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0940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5FCB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A598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1A7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C87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项目名称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8185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昌江区高标准农田损毁设施集中修复项目</w:t>
            </w:r>
          </w:p>
        </w:tc>
      </w:tr>
      <w:tr w14:paraId="5A0AB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03D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568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项目性质</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6E39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改建</w:t>
            </w:r>
          </w:p>
        </w:tc>
      </w:tr>
      <w:tr w14:paraId="027B3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27F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331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项目涉及乡（镇）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C0A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3D8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E4AB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C3C9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6B7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754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项目涉及行政村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087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D3E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4E599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CF58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1C1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87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建设地点</w:t>
            </w:r>
          </w:p>
        </w:tc>
        <w:tc>
          <w:tcPr>
            <w:tcW w:w="602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5A7C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丽阳镇联村村、丽阳村，鲇鱼山镇关山村、新柳村、鱼山村、凤岗村</w:t>
            </w:r>
          </w:p>
        </w:tc>
      </w:tr>
      <w:tr w14:paraId="00768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4DB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763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地形地貌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1F0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681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CD6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丘陵</w:t>
            </w:r>
          </w:p>
        </w:tc>
      </w:tr>
      <w:tr w14:paraId="3EDDC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FEC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00D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建设规模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20A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DE8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519.61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8DB3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DB31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651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94B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投资规模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09C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1C7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54.59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100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3A6F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DBA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F55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单位投资额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439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元/亩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578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 xml:space="preserve">1050.60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45C6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A5EA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A47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D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新增耕地面积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7AA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C5C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CFA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E0D0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EF8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92E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旱改水面积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478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B66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9105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23658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EBF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2BF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高效节水比例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3E7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296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5706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FFB3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27D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CED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建设工期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C51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C23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3450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EE2E8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FB0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5FA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建设目标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D387B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29E48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3475A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AD65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28A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F1D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道路通达率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DBE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780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978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FF0000"/>
                <w:sz w:val="18"/>
                <w:szCs w:val="18"/>
                <w:u w:val="none"/>
              </w:rPr>
            </w:pPr>
          </w:p>
        </w:tc>
      </w:tr>
      <w:tr w14:paraId="0AFC3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9FE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092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田间基础设施占地率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26B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1E4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4F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A7C9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F41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7C4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田间基础设施使用年限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222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DAC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5BD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B6A8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996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DB5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灌溉设计保证率（%）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F64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2E3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D99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水田：90%；旱地：75%</w:t>
            </w:r>
          </w:p>
        </w:tc>
      </w:tr>
      <w:tr w14:paraId="6F272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4B4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9CD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灌溉水利用系数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BF0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0F6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305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0AF3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955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00F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农田排涝标准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12B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E4F2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7AC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水田：10年1遇3日暴雨3日排至农作物耐淹深度；</w:t>
            </w:r>
          </w:p>
        </w:tc>
      </w:tr>
      <w:tr w14:paraId="64FCF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EF7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BD5B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AF30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171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715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旱地：采用10年1遇1日暴雨1日排至田面无积水。</w:t>
            </w:r>
          </w:p>
        </w:tc>
      </w:tr>
      <w:tr w14:paraId="704FE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491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252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项目投资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1D546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00281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02C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投资占比（%）</w:t>
            </w:r>
          </w:p>
        </w:tc>
      </w:tr>
      <w:tr w14:paraId="59A1D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935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894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总投资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7F7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D13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54.59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C2A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100%</w:t>
            </w:r>
          </w:p>
        </w:tc>
      </w:tr>
      <w:tr w14:paraId="1A0D8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DD5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AE3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 xml:space="preserve"> 建筑工程费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F1C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7F2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49.65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E64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91%</w:t>
            </w:r>
          </w:p>
        </w:tc>
      </w:tr>
      <w:tr w14:paraId="3262C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FAF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087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 xml:space="preserve">  设备与安装费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650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34E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EB4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r>
      <w:tr w14:paraId="0BC47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8F0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69F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 xml:space="preserve"> 施工临时工程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227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215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2B9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w:t>
            </w:r>
          </w:p>
        </w:tc>
      </w:tr>
      <w:tr w14:paraId="49944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742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35B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独立费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9ED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F68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3AC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w:t>
            </w:r>
          </w:p>
        </w:tc>
      </w:tr>
      <w:tr w14:paraId="352E62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DDC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DAB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基本预备费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328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A25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5B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r>
      <w:tr w14:paraId="4848A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50E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7DB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灌溉与排水工程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343B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D61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7B5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42CB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44F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535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土地平整工程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C151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888D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49D0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2F2C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365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23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修筑田埂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C88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7CC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E97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4BDF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C00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9F4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灌溉工程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92F9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8E27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098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D6A5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446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69F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改建斗渠(0.6*0.6砼)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AA6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C84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F52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A520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A73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225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改建斗渠(0.8*0.8砼)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B86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5B9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148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DC1A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00B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1DA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改建农渠(0.4*0.4砼)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4BE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387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F81C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DA7C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220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9A6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沟渠维修(0.6*0.6砼)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AA8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44B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EC6C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BFCA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6E0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155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拆建农渠(0.4*0.4砼)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515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8C4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893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3F35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384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8F6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渠系建筑物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2826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1291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0925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CA2C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F9D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B47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4米盖板涵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CDE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D05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717E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77CA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DFB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163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田间道路工程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8ED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6377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4A5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46B7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732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EDF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修复机耕道(3*0.5m碎石)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A6F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FE4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DF8C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F234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DDE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185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改建机耕道(3.5*0.5碎石)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4E5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0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B62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bl>
    <w:p w14:paraId="43B2159C">
      <w:pPr>
        <w:bidi w:val="0"/>
        <w:rPr>
          <w:rFonts w:hint="eastAsia"/>
          <w:lang w:val="en-US" w:eastAsia="zh-CN"/>
        </w:rPr>
        <w:sectPr>
          <w:footerReference r:id="rId6" w:type="default"/>
          <w:pgSz w:w="11906" w:h="16838"/>
          <w:pgMar w:top="1440" w:right="1800" w:bottom="1440" w:left="1800" w:header="851" w:footer="992" w:gutter="0"/>
          <w:pgNumType w:fmt="numberInDash" w:start="1"/>
          <w:cols w:space="425" w:num="1"/>
          <w:docGrid w:type="lines" w:linePitch="312" w:charSpace="0"/>
        </w:sectPr>
      </w:pPr>
    </w:p>
    <w:p w14:paraId="39B61671">
      <w:pPr>
        <w:pStyle w:val="2"/>
        <w:keepNext/>
        <w:keepLines/>
        <w:pageBreakBefore w:val="0"/>
        <w:widowControl w:val="0"/>
        <w:kinsoku/>
        <w:wordWrap/>
        <w:overflowPunct/>
        <w:topLinePunct w:val="0"/>
        <w:autoSpaceDE/>
        <w:autoSpaceDN/>
        <w:bidi w:val="0"/>
        <w:adjustRightInd/>
        <w:snapToGrid/>
        <w:ind w:firstLine="0" w:firstLineChars="0"/>
        <w:jc w:val="center"/>
        <w:textAlignment w:val="auto"/>
        <w:rPr>
          <w:rFonts w:hint="default"/>
          <w:lang w:val="en-US" w:eastAsia="zh-CN"/>
        </w:rPr>
      </w:pPr>
      <w:bookmarkStart w:id="7" w:name="_Toc22759"/>
      <w:r>
        <w:rPr>
          <w:rFonts w:hint="eastAsia"/>
          <w:lang w:val="en-US" w:eastAsia="zh-CN"/>
        </w:rPr>
        <w:t>第一章  项目概况</w:t>
      </w:r>
      <w:bookmarkEnd w:id="7"/>
    </w:p>
    <w:p w14:paraId="639166D9">
      <w:pPr>
        <w:pStyle w:val="3"/>
        <w:bidi w:val="0"/>
        <w:rPr>
          <w:rFonts w:hint="default"/>
          <w:lang w:val="en-US" w:eastAsia="zh-CN"/>
        </w:rPr>
      </w:pPr>
      <w:bookmarkStart w:id="8" w:name="_Toc19250"/>
      <w:r>
        <w:rPr>
          <w:rFonts w:hint="eastAsia"/>
          <w:lang w:val="en-US" w:eastAsia="zh-CN"/>
        </w:rPr>
        <w:t>1.1 项目背景</w:t>
      </w:r>
      <w:bookmarkEnd w:id="8"/>
    </w:p>
    <w:p w14:paraId="19F25659">
      <w:pPr>
        <w:bidi w:val="0"/>
        <w:rPr>
          <w:rFonts w:hint="eastAsia"/>
          <w:highlight w:val="none"/>
          <w:lang w:eastAsia="zh-CN"/>
        </w:rPr>
      </w:pPr>
      <w:r>
        <w:rPr>
          <w:rFonts w:hint="eastAsia"/>
          <w:highlight w:val="none"/>
          <w:lang w:eastAsia="zh-CN"/>
        </w:rPr>
        <w:t>建设高标准农田对保障国家粮食安全、推进农业农村现代化发挥着重要意义，按照党中央、国务院加强农田建设的总体要求，坚持以习近平新时代中国特色社会主义思想为指导，深入贯彻党的二十大、二十届二中全会和习近平总书记考察江西重要讲话精神，全面落实藏粮于地、藏粮于技战略，深入实施立足新发展阶段，完整、准确、全面贯彻新发展理念、构建新发展格局、推动高质量发展，注重系统性、整体性、协同性，深化耕地保护建设，扛稳粮食安全政治责任；围绕实施乡村振兴战略，聚焦逐步把永久基本农田全部建成旱涝保收的高标准农田，以提升粮食产能为首要目标，坚持新增建设和改造提升并重，建设数量与建设质量并重，工程建设和建后管护并重，抓好耕地保护和地力提升，补齐农田基础设施短板，提高水土资源利用效率，增强农田防灾抗灾减灾能力，提高粮食综合生产能力，为保障国家粮食安全、全面推进乡村振兴、加快建设农业强省奠定坚实基础。</w:t>
      </w:r>
    </w:p>
    <w:p w14:paraId="3187B428">
      <w:pPr>
        <w:bidi w:val="0"/>
        <w:rPr>
          <w:rFonts w:hint="eastAsia"/>
          <w:highlight w:val="none"/>
          <w:lang w:eastAsia="zh-CN"/>
        </w:rPr>
      </w:pPr>
      <w:r>
        <w:rPr>
          <w:rFonts w:hint="eastAsia"/>
          <w:highlight w:val="none"/>
          <w:lang w:eastAsia="zh-CN"/>
        </w:rPr>
        <w:t>江西省自2017年起，在全国率先统筹整合高标准农田建设财政资金，引导金融和社会资本投入，集中力量开展高标准农田建设，建立“多个渠道引水、一个池子蓄水、一个龙头放水”的资金统筹整合使用新机制。2017—202</w:t>
      </w:r>
      <w:r>
        <w:rPr>
          <w:rFonts w:hint="eastAsia"/>
          <w:highlight w:val="none"/>
          <w:lang w:val="en-US" w:eastAsia="zh-CN"/>
        </w:rPr>
        <w:t>5</w:t>
      </w:r>
      <w:r>
        <w:rPr>
          <w:rFonts w:hint="eastAsia"/>
          <w:highlight w:val="none"/>
          <w:lang w:eastAsia="zh-CN"/>
        </w:rPr>
        <w:t>年全省高标准农田建设取得显著成效，为提升粮食产能、巩固粮食主产区地位和保障国家粮食安全发挥了重要作用，受到了国务院激励表彰。</w:t>
      </w:r>
    </w:p>
    <w:p w14:paraId="2E863271">
      <w:pPr>
        <w:bidi w:val="0"/>
        <w:rPr>
          <w:rFonts w:hint="eastAsia"/>
          <w:highlight w:val="none"/>
          <w:lang w:val="en-US" w:eastAsia="zh-CN"/>
        </w:rPr>
      </w:pPr>
      <w:r>
        <w:rPr>
          <w:rFonts w:hint="eastAsia"/>
          <w:highlight w:val="none"/>
          <w:lang w:val="en-US" w:eastAsia="zh-CN"/>
        </w:rPr>
        <w:t>昌江区的高标准农田在过去的几年建设中，部分设施经历了不同程度的损坏与老化，部分灌排系统与田间道路尚不完善，整体设施功能尚不完善。现有的田间工程体系服役年限较长，部分设施因年久失修而丧失了应有的运行效能。具体来看，机耕道、生产路、下田板等田间道路的损毁严重，导致农业机械化作业受限，耕作效率显著降低。</w:t>
      </w:r>
    </w:p>
    <w:p w14:paraId="446FB762">
      <w:pPr>
        <w:bidi w:val="0"/>
        <w:rPr>
          <w:rFonts w:hint="eastAsia"/>
          <w:highlight w:val="none"/>
          <w:lang w:val="en-US" w:eastAsia="zh-CN"/>
        </w:rPr>
      </w:pPr>
      <w:r>
        <w:rPr>
          <w:rFonts w:hint="eastAsia"/>
          <w:highlight w:val="none"/>
          <w:lang w:val="en-US" w:eastAsia="zh-CN"/>
        </w:rPr>
        <w:t>本项目的整治提升目标明确，旨在通过对现有高标准农田的综合整治，恢复和提升工程设施的功能，以确保农田基础生产条件的稳定与可靠。由乡镇村上报汇总高标准农田建设中存在的突出问题，区农业农村水利局针对昌江区519.61亩高标准农田的现状，重点聚焦年久失修和局部损毁的工程设施，对切实可行的拟采取有效措施进行系统性修复。通过对机耕道、生产路、下田板等田间道路的维修，以及对明渠、排水沟、管道等输配水工程的整治，确保农田的基础设施能够满足现代农业生产的需求。</w:t>
      </w:r>
    </w:p>
    <w:p w14:paraId="57C72AEE">
      <w:pPr>
        <w:bidi w:val="0"/>
        <w:rPr>
          <w:rFonts w:hint="eastAsia"/>
          <w:highlight w:val="none"/>
          <w:lang w:val="en-US" w:eastAsia="zh-CN"/>
        </w:rPr>
      </w:pPr>
      <w:r>
        <w:rPr>
          <w:rFonts w:hint="eastAsia"/>
          <w:highlight w:val="none"/>
          <w:lang w:val="en-US" w:eastAsia="zh-CN"/>
        </w:rPr>
        <w:t>此外，项目还将对农桥渠系建筑物进行加固和维修，从而全面提升农田的灌溉与排水能力。这一系列措施不仅能够恢复农田的正常使用功能，还将为农业生产提供坚实的基础保障，确保在自然灾害和极端天气条件下，农田能够保持良好的生产状态。</w:t>
      </w:r>
    </w:p>
    <w:p w14:paraId="58E8CBC1">
      <w:pPr>
        <w:pStyle w:val="3"/>
        <w:bidi w:val="0"/>
        <w:rPr>
          <w:rFonts w:hint="eastAsia"/>
          <w:highlight w:val="none"/>
          <w:lang w:val="en-US" w:eastAsia="zh-CN"/>
        </w:rPr>
      </w:pPr>
      <w:bookmarkStart w:id="9" w:name="_Toc20700"/>
      <w:r>
        <w:rPr>
          <w:rFonts w:hint="eastAsia"/>
          <w:highlight w:val="none"/>
          <w:lang w:val="en-US" w:eastAsia="zh-CN"/>
        </w:rPr>
        <w:t>1.2 项目建设地点及规模</w:t>
      </w:r>
      <w:bookmarkEnd w:id="9"/>
    </w:p>
    <w:p w14:paraId="1C52FF62">
      <w:pPr>
        <w:bidi w:val="0"/>
        <w:rPr>
          <w:rFonts w:hint="eastAsia"/>
          <w:lang w:val="en-US" w:eastAsia="zh-CN"/>
        </w:rPr>
      </w:pPr>
      <w:r>
        <w:rPr>
          <w:rFonts w:hint="eastAsia"/>
          <w:lang w:val="en-US" w:eastAsia="zh-CN"/>
        </w:rPr>
        <w:t>本项目选址严格按照江西省农业农村厅江西省自然资源厅江西省生态环境厅江西省水利厅江西省林业局《关于进一步规范高标准农田项目选址工作的通知》（赣农字〔2023〕28号）文件要求进行，禁止选址于饮用水水源一级保护区、河湖管理范围以及25度以上陡坡耕地区域、严格管控类耕地区域。</w:t>
      </w:r>
    </w:p>
    <w:p w14:paraId="472BCC59">
      <w:pPr>
        <w:bidi w:val="0"/>
        <w:rPr>
          <w:rFonts w:hint="default"/>
          <w:lang w:val="en-US" w:eastAsia="zh-CN"/>
        </w:rPr>
      </w:pPr>
      <w:r>
        <w:rPr>
          <w:rFonts w:hint="eastAsia"/>
          <w:lang w:val="en-US" w:eastAsia="zh-CN"/>
        </w:rPr>
        <w:t>本项目涉及丽阳镇联村村、丽阳村，鲇鱼山镇关山村、新柳村、鱼山村、凤岗村；共计2个乡镇（场）6个行政村。项目区建设面积519.61亩。</w:t>
      </w:r>
    </w:p>
    <w:p w14:paraId="3D269C7D">
      <w:pPr>
        <w:rPr>
          <w:rFonts w:hint="eastAsia"/>
          <w:lang w:val="en-US" w:eastAsia="zh-CN"/>
        </w:rPr>
      </w:pPr>
      <w:r>
        <w:rPr>
          <w:rFonts w:hint="eastAsia"/>
          <w:lang w:val="en-US" w:eastAsia="zh-CN"/>
        </w:rPr>
        <w:br w:type="page"/>
      </w:r>
    </w:p>
    <w:p w14:paraId="4171CE2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表1.2-1 昌江区高标准农田损毁设施集中修复项目</w:t>
      </w:r>
      <w:r>
        <w:rPr>
          <w:rFonts w:hint="default"/>
        </w:rPr>
        <w:t>规模表</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56"/>
        <w:gridCol w:w="2776"/>
        <w:gridCol w:w="1633"/>
        <w:gridCol w:w="3154"/>
      </w:tblGrid>
      <w:tr w14:paraId="2ABCD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8C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018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乡镇（场）</w:t>
            </w: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739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行政村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BE7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建设面积</w:t>
            </w:r>
          </w:p>
        </w:tc>
      </w:tr>
      <w:tr w14:paraId="7B26F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79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162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7F2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丽阳镇</w:t>
            </w: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33A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2BB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131.4</w:t>
            </w:r>
          </w:p>
        </w:tc>
      </w:tr>
      <w:tr w14:paraId="448C4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383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162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1EA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C5D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联村村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03F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105.12</w:t>
            </w:r>
          </w:p>
        </w:tc>
      </w:tr>
      <w:tr w14:paraId="2BD3B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AE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162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951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鲇鱼山镇</w:t>
            </w: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017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凤岗村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E8C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84.41</w:t>
            </w:r>
          </w:p>
        </w:tc>
      </w:tr>
      <w:tr w14:paraId="330EF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451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162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F1A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7B1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关山村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CB5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85.79</w:t>
            </w:r>
          </w:p>
        </w:tc>
      </w:tr>
      <w:tr w14:paraId="26A61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E22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162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B9BE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200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新柳村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F29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59.25</w:t>
            </w:r>
          </w:p>
        </w:tc>
      </w:tr>
      <w:tr w14:paraId="3D65B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7DB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162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C03D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95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鱼山村</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EDA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53.64</w:t>
            </w:r>
          </w:p>
        </w:tc>
      </w:tr>
      <w:tr w14:paraId="29E24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A43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2587"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DAF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合计</w:t>
            </w:r>
          </w:p>
        </w:tc>
        <w:tc>
          <w:tcPr>
            <w:tcW w:w="18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A2A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519.61</w:t>
            </w:r>
          </w:p>
        </w:tc>
      </w:tr>
    </w:tbl>
    <w:p w14:paraId="64D9A3C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cs="宋体"/>
          <w:color w:val="auto"/>
          <w:sz w:val="24"/>
          <w:szCs w:val="24"/>
          <w:highlight w:val="none"/>
          <w:lang w:val="en-US" w:eastAsia="zh-CN"/>
        </w:rPr>
      </w:pPr>
    </w:p>
    <w:p w14:paraId="16CA0F14">
      <w:pPr>
        <w:bidi w:val="0"/>
        <w:rPr>
          <w:rFonts w:hint="eastAsia"/>
          <w:lang w:val="en-US" w:eastAsia="zh-CN"/>
        </w:rPr>
      </w:pPr>
      <w:r>
        <w:rPr>
          <w:rFonts w:hint="eastAsia"/>
          <w:lang w:val="en-US" w:eastAsia="zh-CN"/>
        </w:rPr>
        <w:t>项目区大部分耕地位于规划永久基本农田保护区内，</w:t>
      </w:r>
      <w:r>
        <w:rPr>
          <w:rFonts w:hint="eastAsia"/>
          <w:highlight w:val="none"/>
          <w:lang w:val="en-US" w:eastAsia="zh-CN"/>
        </w:rPr>
        <w:t>区内永久基本农田面积达</w:t>
      </w:r>
      <w:r>
        <w:rPr>
          <w:rFonts w:hint="eastAsia"/>
          <w:color w:val="auto"/>
          <w:highlight w:val="none"/>
          <w:lang w:val="en-US" w:eastAsia="zh-CN"/>
        </w:rPr>
        <w:t>372.88亩；</w:t>
      </w:r>
      <w:r>
        <w:rPr>
          <w:rFonts w:hint="eastAsia"/>
          <w:lang w:val="en-US" w:eastAsia="zh-CN"/>
        </w:rPr>
        <w:t>项目区不涉及生态保护红线及城镇开发边界，均为耕地不涉及建设用地。</w:t>
      </w:r>
    </w:p>
    <w:p w14:paraId="2CCDD7A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eastAsiaTheme="minorEastAsia"/>
          <w:color w:val="auto"/>
          <w:sz w:val="24"/>
          <w:szCs w:val="24"/>
          <w:highlight w:val="none"/>
          <w:lang w:val="en-US" w:eastAsia="zh-CN"/>
        </w:rPr>
      </w:pPr>
      <w:r>
        <w:rPr>
          <w:rFonts w:hint="default" w:ascii="Times New Roman" w:hAnsi="Times New Roman" w:cs="Times New Roman" w:eastAsiaTheme="minorEastAsia"/>
          <w:color w:val="auto"/>
          <w:sz w:val="24"/>
          <w:szCs w:val="24"/>
          <w:highlight w:val="none"/>
          <w:lang w:val="en-US" w:eastAsia="zh-CN"/>
        </w:rPr>
        <w:t>表1.2-2 项目范围线与“三区三线”比对情况表</w:t>
      </w:r>
    </w:p>
    <w:tbl>
      <w:tblPr>
        <w:tblStyle w:val="17"/>
        <w:tblW w:w="5992" w:type="pct"/>
        <w:tblInd w:w="-96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05"/>
        <w:gridCol w:w="1655"/>
        <w:gridCol w:w="1693"/>
        <w:gridCol w:w="1574"/>
        <w:gridCol w:w="1520"/>
        <w:gridCol w:w="1600"/>
        <w:gridCol w:w="1666"/>
      </w:tblGrid>
      <w:tr w14:paraId="3CEA5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A23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8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F62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乡（镇、场）</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F9E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项目区</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299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建设面积（亩）</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C6E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涉及基本农田面积（亩）</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178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涉及城镇开发边界面积（亩）</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0C1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涉及生态保护红线面积（亩）</w:t>
            </w:r>
          </w:p>
        </w:tc>
      </w:tr>
      <w:tr w14:paraId="5D758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45B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810" w:type="pct"/>
            <w:vMerge w:val="restart"/>
            <w:tcBorders>
              <w:top w:val="nil"/>
              <w:left w:val="single" w:color="000000" w:sz="4" w:space="0"/>
              <w:bottom w:val="single" w:color="000000" w:sz="4" w:space="0"/>
              <w:right w:val="single" w:color="000000" w:sz="4" w:space="0"/>
            </w:tcBorders>
            <w:shd w:val="clear" w:color="auto" w:fill="auto"/>
            <w:noWrap/>
            <w:vAlign w:val="center"/>
          </w:tcPr>
          <w:p w14:paraId="71B08D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丽阳镇</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7CC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A53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131.4</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394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127.7</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53A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9F3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26153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A20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810" w:type="pct"/>
            <w:vMerge w:val="continue"/>
            <w:tcBorders>
              <w:top w:val="nil"/>
              <w:left w:val="single" w:color="000000" w:sz="4" w:space="0"/>
              <w:bottom w:val="single" w:color="000000" w:sz="4" w:space="0"/>
              <w:right w:val="single" w:color="000000" w:sz="4" w:space="0"/>
            </w:tcBorders>
            <w:shd w:val="clear" w:color="auto" w:fill="auto"/>
            <w:noWrap/>
            <w:vAlign w:val="center"/>
          </w:tcPr>
          <w:p w14:paraId="5A59806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A35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联村村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4B7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105.12</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21F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101.63</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02E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647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3BEB2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496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81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757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鲇鱼山镇</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0B9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凤岗村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E9A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84.41</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DBD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49E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E52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1432C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C9C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81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EC1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C18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关山村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904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85.79</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C2F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84.3</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11B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DBE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2B1A0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4B2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81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F83A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D3A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新柳村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CA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59.25</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482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59.25</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9F3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DDF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4A5D6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656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81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D2D8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113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鱼山村</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EC8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53.64</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F747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B5D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6E8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r w14:paraId="0C47D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BE5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1639"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3C2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合计</w:t>
            </w:r>
          </w:p>
        </w:tc>
        <w:tc>
          <w:tcPr>
            <w:tcW w:w="7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E72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519.61</w:t>
            </w:r>
          </w:p>
        </w:tc>
        <w:tc>
          <w:tcPr>
            <w:tcW w:w="7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13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372.88</w:t>
            </w:r>
          </w:p>
        </w:tc>
        <w:tc>
          <w:tcPr>
            <w:tcW w:w="7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75A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517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r>
    </w:tbl>
    <w:p w14:paraId="7FA42D7A">
      <w:pPr>
        <w:rPr>
          <w:rFonts w:hint="eastAsia"/>
          <w:lang w:val="en-US" w:eastAsia="zh-CN"/>
        </w:rPr>
        <w:sectPr>
          <w:footerReference r:id="rId7" w:type="default"/>
          <w:pgSz w:w="11906" w:h="16838"/>
          <w:pgMar w:top="1440" w:right="1800" w:bottom="1440" w:left="1800" w:header="851" w:footer="992" w:gutter="0"/>
          <w:pgNumType w:fmt="decimal" w:start="1"/>
          <w:cols w:space="425" w:num="1"/>
          <w:docGrid w:type="lines" w:linePitch="312" w:charSpace="0"/>
        </w:sectPr>
      </w:pPr>
    </w:p>
    <w:p w14:paraId="5366447A">
      <w:pPr>
        <w:pStyle w:val="3"/>
        <w:bidi w:val="0"/>
        <w:rPr>
          <w:rFonts w:hint="eastAsia"/>
          <w:lang w:val="en-US" w:eastAsia="zh-CN"/>
        </w:rPr>
      </w:pPr>
      <w:bookmarkStart w:id="10" w:name="_Toc16367"/>
      <w:r>
        <w:rPr>
          <w:rFonts w:hint="eastAsia"/>
          <w:lang w:val="en-US" w:eastAsia="zh-CN"/>
        </w:rPr>
        <w:t>1.3 自然状况</w:t>
      </w:r>
      <w:bookmarkEnd w:id="10"/>
    </w:p>
    <w:p w14:paraId="20878B4C">
      <w:pPr>
        <w:pStyle w:val="4"/>
        <w:bidi w:val="0"/>
        <w:rPr>
          <w:rFonts w:hint="eastAsia"/>
          <w:lang w:val="en-US" w:eastAsia="zh-CN"/>
        </w:rPr>
      </w:pPr>
      <w:r>
        <w:rPr>
          <w:rFonts w:hint="eastAsia"/>
          <w:lang w:val="en-US" w:eastAsia="zh-CN"/>
        </w:rPr>
        <w:t>1.3.1 地形地貌</w:t>
      </w:r>
    </w:p>
    <w:p w14:paraId="5E70BD41">
      <w:pPr>
        <w:bidi w:val="0"/>
        <w:rPr>
          <w:rFonts w:hint="default" w:eastAsia="宋体"/>
          <w:color w:val="auto"/>
          <w:lang w:val="en-US" w:eastAsia="zh-CN"/>
        </w:rPr>
      </w:pPr>
      <w:r>
        <w:rPr>
          <w:rFonts w:hint="eastAsia" w:ascii="宋体" w:hAnsi="宋体" w:eastAsia="宋体" w:cs="宋体"/>
          <w:color w:val="auto"/>
          <w:sz w:val="24"/>
          <w:szCs w:val="24"/>
          <w:lang w:val="en-US" w:eastAsia="zh-CN"/>
        </w:rPr>
        <w:t>昌江区地处昌江河谷岗地平原区，地势自东北向西南缓延倾斜，南部为丘陵地区，东南缘刀山口最高，海拔651米，东北和西南为低丘河谷平原，海拔为100米以下，境内大小支流汇入昌江河，在谷地中部，形成宽阔的冲积平原，海拔均低于100米，地势较为平坦。全区土壤多为地带性红土壤，占全区面积的90%以上</w:t>
      </w:r>
      <w:r>
        <w:rPr>
          <w:rFonts w:hint="eastAsia"/>
          <w:color w:val="auto"/>
          <w:lang w:val="en-US" w:eastAsia="zh-CN"/>
        </w:rPr>
        <w:t>。</w:t>
      </w:r>
    </w:p>
    <w:p w14:paraId="01E4BBE8">
      <w:pPr>
        <w:pStyle w:val="4"/>
        <w:bidi w:val="0"/>
        <w:rPr>
          <w:rFonts w:hint="eastAsia"/>
          <w:lang w:val="en-US" w:eastAsia="zh-CN"/>
        </w:rPr>
      </w:pPr>
      <w:r>
        <w:rPr>
          <w:rFonts w:hint="eastAsia"/>
          <w:lang w:val="en-US" w:eastAsia="zh-CN"/>
        </w:rPr>
        <w:t>1.3.2 水文气象</w:t>
      </w:r>
    </w:p>
    <w:p w14:paraId="6BB9A487">
      <w:pPr>
        <w:bidi w:val="0"/>
        <w:rPr>
          <w:rFonts w:hint="eastAsia"/>
          <w:lang w:val="en-US" w:eastAsia="zh-CN"/>
        </w:rPr>
      </w:pPr>
      <w:r>
        <w:rPr>
          <w:rFonts w:hint="eastAsia"/>
          <w:lang w:val="en-US" w:eastAsia="zh-CN"/>
        </w:rPr>
        <w:t>昌江区境内主要河流为昌江河，属饶河水系，水源来自安徽省祁门县，全长267km，自北向南斜穿我区，流经我区境内干流长45km。昌江河较大支流南河、西河两支流分别经珠山区湖田、三闾庙后汇入昌江河。</w:t>
      </w:r>
    </w:p>
    <w:p w14:paraId="25E56408">
      <w:pPr>
        <w:bidi w:val="0"/>
        <w:rPr>
          <w:rFonts w:hint="eastAsia"/>
          <w:lang w:val="en-US" w:eastAsia="zh-CN"/>
        </w:rPr>
      </w:pPr>
      <w:r>
        <w:rPr>
          <w:rFonts w:hint="eastAsia"/>
          <w:lang w:eastAsia="zh-CN"/>
        </w:rPr>
        <w:t>昌江区开发利用水资源主要包括河道提水、水利工程蓄（引）水等。据20</w:t>
      </w:r>
      <w:r>
        <w:rPr>
          <w:rFonts w:hint="eastAsia"/>
          <w:lang w:val="en-US" w:eastAsia="zh-CN"/>
        </w:rPr>
        <w:t>20</w:t>
      </w:r>
      <w:r>
        <w:rPr>
          <w:rFonts w:hint="eastAsia"/>
          <w:lang w:eastAsia="zh-CN"/>
        </w:rPr>
        <w:t>年资料统计，全区地表径流量多年平均值为3.306亿m3，地下径流量为0.548亿m3，还有昌江河、西河，</w:t>
      </w:r>
      <w:r>
        <w:rPr>
          <w:rFonts w:hint="eastAsia"/>
          <w:lang w:val="en-US" w:eastAsia="zh-CN"/>
        </w:rPr>
        <w:t>丽阳水</w:t>
      </w:r>
      <w:r>
        <w:rPr>
          <w:rFonts w:hint="eastAsia"/>
          <w:lang w:eastAsia="zh-CN"/>
        </w:rPr>
        <w:t>流经我区，入境的水都为客水，多年平均入境客水为43亿m3，而可控用水量为0.4亿m3，以上述水资源量为我区水资源总量，全区水资源总量为4.254亿m3。其中地表水资源量3.706亿m3，地下水资源量0.548亿m3</w:t>
      </w:r>
      <w:r>
        <w:rPr>
          <w:rFonts w:hint="eastAsia"/>
          <w:lang w:val="en-US" w:eastAsia="zh-CN"/>
        </w:rPr>
        <w:t>。</w:t>
      </w:r>
    </w:p>
    <w:p w14:paraId="4931E12A">
      <w:pPr>
        <w:bidi w:val="0"/>
        <w:rPr>
          <w:rFonts w:hint="eastAsia"/>
          <w:lang w:val="en-US" w:eastAsia="zh-CN"/>
        </w:rPr>
      </w:pPr>
      <w:r>
        <w:rPr>
          <w:rFonts w:hint="eastAsia"/>
          <w:lang w:eastAsia="zh-CN"/>
        </w:rPr>
        <w:t>昌</w:t>
      </w:r>
      <w:r>
        <w:rPr>
          <w:rFonts w:hint="eastAsia"/>
          <w:lang w:val="en-US" w:eastAsia="zh-CN"/>
        </w:rPr>
        <w:t>江区属中亚热带湿润气候区，气候温和，雨量充沛，日照充足，无霜期达250天，四季分明，年平均气温在16.6℃——7.8℃之间。是江西省三大暴雨中心之一，多年平均降雨量1763.5毫米，但降水在年内分配不均，一般4—6月降水约占全年水量的70%，多年平均蒸发量为1327毫米，年平均日照数为2010.8小时，年平均太阳辐射总量每平方厘米1.98千卡，光照资源较为丰富，由于东北地区山地小气候发育，在日降雨量较大5、6月份，经常发生山洪暴发。</w:t>
      </w:r>
    </w:p>
    <w:p w14:paraId="5AD45A06">
      <w:pPr>
        <w:pStyle w:val="4"/>
        <w:bidi w:val="0"/>
        <w:rPr>
          <w:rFonts w:hint="eastAsia"/>
          <w:lang w:val="en-US" w:eastAsia="zh-CN"/>
        </w:rPr>
      </w:pPr>
      <w:r>
        <w:rPr>
          <w:rFonts w:hint="eastAsia"/>
          <w:lang w:val="en-US" w:eastAsia="zh-CN"/>
        </w:rPr>
        <w:t>1.3.3 土壤状况</w:t>
      </w:r>
    </w:p>
    <w:p w14:paraId="2A80C450">
      <w:pPr>
        <w:bidi w:val="0"/>
        <w:rPr>
          <w:rFonts w:hint="default"/>
          <w:lang w:val="en-US" w:eastAsia="zh-CN"/>
        </w:rPr>
      </w:pPr>
      <w:r>
        <w:rPr>
          <w:rFonts w:hint="eastAsia"/>
          <w:lang w:eastAsia="zh-CN"/>
        </w:rPr>
        <w:t>昌江区</w:t>
      </w:r>
      <w:r>
        <w:rPr>
          <w:rFonts w:hint="eastAsia"/>
        </w:rPr>
        <w:t>属低山丘陵地区</w:t>
      </w:r>
      <w:r>
        <w:rPr>
          <w:rFonts w:hint="eastAsia"/>
          <w:lang w:eastAsia="zh-CN"/>
        </w:rPr>
        <w:t>，</w:t>
      </w:r>
      <w:r>
        <w:rPr>
          <w:rFonts w:hint="eastAsia"/>
        </w:rPr>
        <w:t>南北高、东南低。</w:t>
      </w:r>
      <w:r>
        <w:rPr>
          <w:rFonts w:hint="eastAsia"/>
          <w:lang w:eastAsia="zh-CN"/>
        </w:rPr>
        <w:t>昌江区</w:t>
      </w:r>
      <w:r>
        <w:rPr>
          <w:rFonts w:hint="eastAsia"/>
        </w:rPr>
        <w:t>土壤由泥质岩类风化物（占总面积55.89%，石灰岩类风化物占22.57%），石英岩类风化物（11.22%），第四级红色粘土</w:t>
      </w:r>
      <w:r>
        <w:rPr>
          <w:rFonts w:hint="eastAsia"/>
          <w:lang w:eastAsia="zh-CN"/>
        </w:rPr>
        <w:t>（</w:t>
      </w:r>
      <w:r>
        <w:rPr>
          <w:rFonts w:hint="eastAsia"/>
        </w:rPr>
        <w:t>7.48%</w:t>
      </w:r>
      <w:r>
        <w:rPr>
          <w:rFonts w:hint="eastAsia"/>
          <w:lang w:eastAsia="zh-CN"/>
        </w:rPr>
        <w:t>）</w:t>
      </w:r>
      <w:r>
        <w:rPr>
          <w:rFonts w:hint="eastAsia"/>
        </w:rPr>
        <w:t>，河积物（2.04%），湖积物（0.76%），紫色泥岩（少量）等七类成土母质发育而成，可分7个土类，10个</w:t>
      </w:r>
      <w:r>
        <w:rPr>
          <w:rFonts w:hint="eastAsia"/>
          <w:lang w:val="en-US" w:eastAsia="zh-CN"/>
        </w:rPr>
        <w:t>亚</w:t>
      </w:r>
      <w:r>
        <w:rPr>
          <w:rFonts w:hint="eastAsia"/>
        </w:rPr>
        <w:t>类，29个土属，79个土种。种植水稻后，改造了原有的生草层，形成了耕作层，表现为有机质、氮、磷含量高，土壤保水状况良好，自然肥力较高</w:t>
      </w:r>
      <w:r>
        <w:rPr>
          <w:rFonts w:hint="eastAsia"/>
          <w:lang w:val="en-US" w:eastAsia="zh-CN"/>
        </w:rPr>
        <w:t>。</w:t>
      </w:r>
    </w:p>
    <w:p w14:paraId="23E5E0E0">
      <w:pPr>
        <w:pStyle w:val="4"/>
        <w:bidi w:val="0"/>
        <w:rPr>
          <w:rFonts w:hint="eastAsia"/>
          <w:lang w:val="en-US" w:eastAsia="zh-CN"/>
        </w:rPr>
      </w:pPr>
      <w:r>
        <w:rPr>
          <w:rFonts w:hint="eastAsia"/>
          <w:lang w:val="en-US" w:eastAsia="zh-CN"/>
        </w:rPr>
        <w:t>1.3.4 河流水系</w:t>
      </w:r>
    </w:p>
    <w:p w14:paraId="374312E1">
      <w:pPr>
        <w:bidi w:val="0"/>
        <w:rPr>
          <w:rFonts w:hint="eastAsia"/>
          <w:lang w:eastAsia="zh-CN"/>
        </w:rPr>
      </w:pPr>
      <w:r>
        <w:rPr>
          <w:rFonts w:hint="eastAsia"/>
          <w:lang w:eastAsia="zh-CN"/>
        </w:rPr>
        <w:t>昌江区全域隶属于长江流域鄱阳湖水系→饶河水系，昌江干流为区内主干河道，整体水系格局：干流贯穿全境、一级支流分列东西、小山涧密布、水库山塘调蓄配套完整，水系呈树枝状向南汇聚汇入昌江，最终经饶河入鄱阳湖、连通长江。</w:t>
      </w:r>
    </w:p>
    <w:p w14:paraId="010C83B0">
      <w:pPr>
        <w:keepNext w:val="0"/>
        <w:keepLines w:val="0"/>
        <w:pageBreakBefore w:val="0"/>
        <w:widowControl w:val="0"/>
        <w:kinsoku/>
        <w:wordWrap/>
        <w:overflowPunct/>
        <w:topLinePunct w:val="0"/>
        <w:autoSpaceDE/>
        <w:autoSpaceDN/>
        <w:bidi w:val="0"/>
        <w:adjustRightInd/>
        <w:snapToGrid/>
        <w:textAlignment w:val="auto"/>
      </w:pPr>
      <w:r>
        <w:rPr>
          <w:rFonts w:hint="eastAsia"/>
          <w:lang w:eastAsia="zh-CN"/>
        </w:rPr>
        <w:t>（</w:t>
      </w:r>
      <w:r>
        <w:rPr>
          <w:rFonts w:hint="eastAsia"/>
          <w:lang w:val="en-US" w:eastAsia="zh-CN"/>
        </w:rPr>
        <w:t>1</w:t>
      </w:r>
      <w:r>
        <w:rPr>
          <w:rFonts w:hint="eastAsia"/>
          <w:lang w:eastAsia="zh-CN"/>
        </w:rPr>
        <w:t>）</w:t>
      </w:r>
      <w:r>
        <w:t>西河（大演水，城区最重要支流）</w:t>
      </w:r>
    </w:p>
    <w:p w14:paraId="5A00A047">
      <w:pPr>
        <w:keepNext w:val="0"/>
        <w:keepLines w:val="0"/>
        <w:pageBreakBefore w:val="0"/>
        <w:widowControl w:val="0"/>
        <w:kinsoku/>
        <w:wordWrap/>
        <w:overflowPunct/>
        <w:topLinePunct w:val="0"/>
        <w:autoSpaceDE/>
        <w:autoSpaceDN/>
        <w:bidi w:val="0"/>
        <w:adjustRightInd/>
        <w:snapToGrid/>
        <w:textAlignment w:val="auto"/>
      </w:pPr>
      <w:r>
        <w:t>水系等级：昌江最大一级支流，饶河二级支流</w:t>
      </w:r>
    </w:p>
    <w:p w14:paraId="6313D920">
      <w:pPr>
        <w:keepNext w:val="0"/>
        <w:keepLines w:val="0"/>
        <w:pageBreakBefore w:val="0"/>
        <w:widowControl w:val="0"/>
        <w:kinsoku/>
        <w:wordWrap/>
        <w:overflowPunct/>
        <w:topLinePunct w:val="0"/>
        <w:autoSpaceDE/>
        <w:autoSpaceDN/>
        <w:bidi w:val="0"/>
        <w:adjustRightInd/>
        <w:snapToGrid/>
        <w:textAlignment w:val="auto"/>
      </w:pPr>
      <w:r>
        <w:t>源头：浮梁县黄坛乡皖赣边界山区，全长 66km，流域面积 499km²</w:t>
      </w:r>
    </w:p>
    <w:p w14:paraId="678B2258">
      <w:pPr>
        <w:keepNext w:val="0"/>
        <w:keepLines w:val="0"/>
        <w:pageBreakBefore w:val="0"/>
        <w:widowControl w:val="0"/>
        <w:kinsoku/>
        <w:wordWrap/>
        <w:overflowPunct/>
        <w:topLinePunct w:val="0"/>
        <w:autoSpaceDE/>
        <w:autoSpaceDN/>
        <w:bidi w:val="0"/>
        <w:adjustRightInd/>
        <w:snapToGrid/>
        <w:textAlignment w:val="auto"/>
        <w:rPr>
          <w:rFonts w:hint="eastAsia" w:eastAsia="宋体"/>
          <w:lang w:val="en-US" w:eastAsia="zh-CN"/>
        </w:rPr>
      </w:pPr>
      <w:r>
        <w:t>区内走向：北向南流经西郊街道、新枫街道，在景德镇城区人民公园附近汇入昌江</w:t>
      </w:r>
      <w:r>
        <w:rPr>
          <w:rFonts w:hint="eastAsia"/>
          <w:lang w:eastAsia="zh-CN"/>
        </w:rPr>
        <w:t>。</w:t>
      </w:r>
    </w:p>
    <w:p w14:paraId="6E595ABA">
      <w:pPr>
        <w:keepNext w:val="0"/>
        <w:keepLines w:val="0"/>
        <w:pageBreakBefore w:val="0"/>
        <w:widowControl w:val="0"/>
        <w:kinsoku/>
        <w:wordWrap/>
        <w:overflowPunct/>
        <w:topLinePunct w:val="0"/>
        <w:autoSpaceDE/>
        <w:autoSpaceDN/>
        <w:bidi w:val="0"/>
        <w:adjustRightInd/>
        <w:snapToGrid/>
        <w:textAlignment w:val="auto"/>
      </w:pPr>
      <w:r>
        <w:t>现状：依托西河洼地打造昌南湖湿地公园（城市核心生态湖区），堤防改造后兼具防洪、城市休闲景观功能，是城区幸福河湖示范河段。</w:t>
      </w:r>
    </w:p>
    <w:p w14:paraId="28DC3EE1">
      <w:pPr>
        <w:keepNext w:val="0"/>
        <w:keepLines w:val="0"/>
        <w:pageBreakBefore w:val="0"/>
        <w:widowControl w:val="0"/>
        <w:kinsoku/>
        <w:wordWrap/>
        <w:overflowPunct/>
        <w:topLinePunct w:val="0"/>
        <w:autoSpaceDE/>
        <w:autoSpaceDN/>
        <w:bidi w:val="0"/>
        <w:adjustRightInd/>
        <w:snapToGrid/>
        <w:textAlignment w:val="auto"/>
      </w:pPr>
      <w:r>
        <w:rPr>
          <w:rFonts w:hint="eastAsia"/>
          <w:lang w:eastAsia="zh-CN"/>
        </w:rPr>
        <w:t>（</w:t>
      </w:r>
      <w:r>
        <w:rPr>
          <w:rFonts w:hint="eastAsia"/>
          <w:lang w:val="en-US" w:eastAsia="zh-CN"/>
        </w:rPr>
        <w:t>2</w:t>
      </w:r>
      <w:r>
        <w:rPr>
          <w:rFonts w:hint="eastAsia"/>
          <w:lang w:eastAsia="zh-CN"/>
        </w:rPr>
        <w:t>）</w:t>
      </w:r>
      <w:r>
        <w:t>丽阳水（又称朱家港）</w:t>
      </w:r>
    </w:p>
    <w:p w14:paraId="7BE96F79">
      <w:pPr>
        <w:keepNext w:val="0"/>
        <w:keepLines w:val="0"/>
        <w:pageBreakBefore w:val="0"/>
        <w:widowControl w:val="0"/>
        <w:kinsoku/>
        <w:wordWrap/>
        <w:overflowPunct/>
        <w:topLinePunct w:val="0"/>
        <w:autoSpaceDE/>
        <w:autoSpaceDN/>
        <w:bidi w:val="0"/>
        <w:adjustRightInd/>
        <w:snapToGrid/>
        <w:textAlignment w:val="auto"/>
      </w:pPr>
      <w:r>
        <w:t>全长 27.2km，昌江区境内河段 12.35km，流域总面积 126km²</w:t>
      </w:r>
    </w:p>
    <w:p w14:paraId="2314253D">
      <w:pPr>
        <w:keepNext w:val="0"/>
        <w:keepLines w:val="0"/>
        <w:pageBreakBefore w:val="0"/>
        <w:widowControl w:val="0"/>
        <w:kinsoku/>
        <w:wordWrap/>
        <w:overflowPunct/>
        <w:topLinePunct w:val="0"/>
        <w:autoSpaceDE/>
        <w:autoSpaceDN/>
        <w:bidi w:val="0"/>
        <w:adjustRightInd/>
        <w:snapToGrid/>
        <w:textAlignment w:val="auto"/>
        <w:rPr>
          <w:rFonts w:hint="eastAsia" w:eastAsia="宋体"/>
          <w:lang w:eastAsia="zh-CN"/>
        </w:rPr>
      </w:pPr>
      <w:r>
        <w:t>流向：发源于上饶鄱阳县金盘岭镇，自北向南入境丽阳镇，沿途收纳山间溪流，最终于丽阳镇注入昌江</w:t>
      </w:r>
      <w:r>
        <w:rPr>
          <w:rFonts w:hint="eastAsia"/>
          <w:lang w:eastAsia="zh-CN"/>
        </w:rPr>
        <w:t>。</w:t>
      </w:r>
    </w:p>
    <w:p w14:paraId="6478AE47">
      <w:pPr>
        <w:keepNext w:val="0"/>
        <w:keepLines w:val="0"/>
        <w:pageBreakBefore w:val="0"/>
        <w:widowControl w:val="0"/>
        <w:kinsoku/>
        <w:wordWrap/>
        <w:overflowPunct/>
        <w:topLinePunct w:val="0"/>
        <w:autoSpaceDE/>
        <w:autoSpaceDN/>
        <w:bidi w:val="0"/>
        <w:adjustRightInd/>
        <w:snapToGrid/>
        <w:textAlignment w:val="auto"/>
      </w:pPr>
      <w:r>
        <w:t>水利配套：干流上游建有山田水库，拦蓄山洪、灌溉农田，是丽阳片区核心调蓄水库。</w:t>
      </w:r>
    </w:p>
    <w:p w14:paraId="5BC04A1E">
      <w:pPr>
        <w:keepNext w:val="0"/>
        <w:keepLines w:val="0"/>
        <w:pageBreakBefore w:val="0"/>
        <w:widowControl w:val="0"/>
        <w:kinsoku/>
        <w:wordWrap/>
        <w:overflowPunct/>
        <w:topLinePunct w:val="0"/>
        <w:autoSpaceDE/>
        <w:autoSpaceDN/>
        <w:bidi w:val="0"/>
        <w:adjustRightInd/>
        <w:snapToGrid/>
        <w:textAlignment w:val="auto"/>
      </w:pPr>
      <w:r>
        <w:rPr>
          <w:rFonts w:hint="eastAsia"/>
          <w:lang w:eastAsia="zh-CN"/>
        </w:rPr>
        <w:t>（</w:t>
      </w:r>
      <w:r>
        <w:rPr>
          <w:rFonts w:hint="eastAsia"/>
          <w:lang w:val="en-US" w:eastAsia="zh-CN"/>
        </w:rPr>
        <w:t>3</w:t>
      </w:r>
      <w:r>
        <w:rPr>
          <w:rFonts w:hint="eastAsia"/>
          <w:lang w:eastAsia="zh-CN"/>
        </w:rPr>
        <w:t>）</w:t>
      </w:r>
      <w:r>
        <w:t>荷塘水</w:t>
      </w:r>
    </w:p>
    <w:p w14:paraId="6272F5C8">
      <w:pPr>
        <w:keepNext w:val="0"/>
        <w:keepLines w:val="0"/>
        <w:pageBreakBefore w:val="0"/>
        <w:widowControl w:val="0"/>
        <w:kinsoku/>
        <w:wordWrap/>
        <w:overflowPunct/>
        <w:topLinePunct w:val="0"/>
        <w:autoSpaceDE/>
        <w:autoSpaceDN/>
        <w:bidi w:val="0"/>
        <w:adjustRightInd/>
        <w:snapToGrid/>
        <w:textAlignment w:val="auto"/>
        <w:rPr>
          <w:rFonts w:hint="eastAsia" w:eastAsia="宋体"/>
          <w:lang w:eastAsia="zh-CN"/>
        </w:rPr>
      </w:pPr>
      <w:r>
        <w:t>分布区域：发源于南部荷塘乡山区，自深山向北流淌，横穿荷塘乡全域，出境汇入鲇鱼山镇后注入昌江</w:t>
      </w:r>
      <w:r>
        <w:rPr>
          <w:rFonts w:hint="eastAsia"/>
          <w:lang w:eastAsia="zh-CN"/>
        </w:rPr>
        <w:t>。</w:t>
      </w:r>
    </w:p>
    <w:p w14:paraId="7D9F8083">
      <w:pPr>
        <w:keepNext w:val="0"/>
        <w:keepLines w:val="0"/>
        <w:pageBreakBefore w:val="0"/>
        <w:widowControl w:val="0"/>
        <w:kinsoku/>
        <w:wordWrap/>
        <w:overflowPunct/>
        <w:topLinePunct w:val="0"/>
        <w:autoSpaceDE/>
        <w:autoSpaceDN/>
        <w:bidi w:val="0"/>
        <w:adjustRightInd/>
        <w:snapToGrid/>
        <w:textAlignment w:val="auto"/>
      </w:pPr>
      <w:r>
        <w:t>功能：南部山区灌溉主力河道，沿线山林水土保持作用突出。</w:t>
      </w:r>
    </w:p>
    <w:p w14:paraId="277D0EBC">
      <w:pPr>
        <w:keepNext w:val="0"/>
        <w:keepLines w:val="0"/>
        <w:pageBreakBefore w:val="0"/>
        <w:widowControl w:val="0"/>
        <w:kinsoku/>
        <w:wordWrap/>
        <w:overflowPunct/>
        <w:topLinePunct w:val="0"/>
        <w:autoSpaceDE/>
        <w:autoSpaceDN/>
        <w:bidi w:val="0"/>
        <w:adjustRightInd/>
        <w:snapToGrid/>
        <w:textAlignment w:val="auto"/>
      </w:pPr>
      <w:r>
        <w:rPr>
          <w:rFonts w:hint="eastAsia"/>
          <w:lang w:eastAsia="zh-CN"/>
        </w:rPr>
        <w:t>（</w:t>
      </w:r>
      <w:r>
        <w:rPr>
          <w:rFonts w:hint="eastAsia"/>
          <w:lang w:val="en-US" w:eastAsia="zh-CN"/>
        </w:rPr>
        <w:t>4</w:t>
      </w:r>
      <w:r>
        <w:rPr>
          <w:rFonts w:hint="eastAsia"/>
          <w:lang w:eastAsia="zh-CN"/>
        </w:rPr>
        <w:t>）</w:t>
      </w:r>
      <w:r>
        <w:t>合禄港水</w:t>
      </w:r>
    </w:p>
    <w:p w14:paraId="2D95E714">
      <w:pPr>
        <w:keepNext w:val="0"/>
        <w:keepLines w:val="0"/>
        <w:pageBreakBefore w:val="0"/>
        <w:widowControl w:val="0"/>
        <w:kinsoku/>
        <w:wordWrap/>
        <w:overflowPunct/>
        <w:topLinePunct w:val="0"/>
        <w:autoSpaceDE/>
        <w:autoSpaceDN/>
        <w:bidi w:val="0"/>
        <w:adjustRightInd/>
        <w:snapToGrid/>
        <w:textAlignment w:val="auto"/>
      </w:pPr>
      <w:r>
        <w:t>地处昌江西南部丽阳镇境内，丘陵山间溪流汇聚而成，</w:t>
      </w:r>
      <w:r>
        <w:rPr>
          <w:rFonts w:hint="eastAsia"/>
          <w:lang w:val="en-US" w:eastAsia="zh-CN"/>
        </w:rPr>
        <w:t>部分</w:t>
      </w:r>
      <w:r>
        <w:t>在丽阳镇范围内汇入昌江，承担片区农田排涝与灌溉。</w:t>
      </w:r>
    </w:p>
    <w:p w14:paraId="6993D973">
      <w:pPr>
        <w:pStyle w:val="4"/>
        <w:bidi w:val="0"/>
        <w:rPr>
          <w:rFonts w:hint="eastAsia"/>
          <w:lang w:val="en-US" w:eastAsia="zh-CN"/>
        </w:rPr>
      </w:pPr>
      <w:r>
        <w:rPr>
          <w:rFonts w:hint="eastAsia"/>
          <w:lang w:val="en-US" w:eastAsia="zh-CN"/>
        </w:rPr>
        <w:t>1.3.5 自然灾害影响</w:t>
      </w:r>
    </w:p>
    <w:p w14:paraId="1FF09CEC">
      <w:pPr>
        <w:bidi w:val="0"/>
      </w:pPr>
      <w:r>
        <w:t>（1）干旱</w:t>
      </w:r>
    </w:p>
    <w:p w14:paraId="0C1DA77C">
      <w:pPr>
        <w:bidi w:val="0"/>
      </w:pPr>
      <w:r>
        <w:t>干旱是</w:t>
      </w:r>
      <w:r>
        <w:rPr>
          <w:rFonts w:hint="eastAsia"/>
          <w:lang w:eastAsia="zh-CN"/>
        </w:rPr>
        <w:t>昌江区</w:t>
      </w:r>
      <w:r>
        <w:t>最常见的大范围的农业气候灾害，几乎每</w:t>
      </w:r>
      <w:r>
        <w:rPr>
          <w:rFonts w:hint="eastAsia"/>
        </w:rPr>
        <w:t>过几年</w:t>
      </w:r>
      <w:r>
        <w:t>都有不同程度的危害。</w:t>
      </w:r>
    </w:p>
    <w:p w14:paraId="00BAFAF3">
      <w:pPr>
        <w:bidi w:val="0"/>
      </w:pPr>
      <w:r>
        <w:t>（2）洪涝</w:t>
      </w:r>
    </w:p>
    <w:p w14:paraId="59BA225E">
      <w:pPr>
        <w:bidi w:val="0"/>
      </w:pPr>
      <w:r>
        <w:t>由连续暴雨、大暴雨引起山洪暴发或江水倒灌，与渍涝汇合，排泄不及而造成的一种农业气候灾害。</w:t>
      </w:r>
    </w:p>
    <w:p w14:paraId="1D072239">
      <w:pPr>
        <w:bidi w:val="0"/>
      </w:pPr>
      <w:r>
        <w:t>（3）冰雹大风</w:t>
      </w:r>
    </w:p>
    <w:p w14:paraId="2E2C18B6">
      <w:pPr>
        <w:bidi w:val="0"/>
      </w:pPr>
      <w:r>
        <w:t>冰雹大风造成的农业气候灾害。</w:t>
      </w:r>
    </w:p>
    <w:p w14:paraId="087C6D64">
      <w:pPr>
        <w:bidi w:val="0"/>
      </w:pPr>
      <w:r>
        <w:t>（4）春寒</w:t>
      </w:r>
    </w:p>
    <w:p w14:paraId="20546CB4">
      <w:pPr>
        <w:bidi w:val="0"/>
      </w:pPr>
      <w:r>
        <w:t>早稻播种期间（3月中旬～4月中旬）冷暖空气交替频繁，天气多变，冷空气入侵后，常出现低温阴雨天气，造成烂种死苗，称之为“春寒”。本</w:t>
      </w:r>
      <w:r>
        <w:rPr>
          <w:rFonts w:hint="eastAsia"/>
          <w:lang w:eastAsia="zh-CN"/>
        </w:rPr>
        <w:t>区</w:t>
      </w:r>
      <w:r>
        <w:t>春寒有春分寒和清明寒，对早稻育秧和棉花整地非常不利。</w:t>
      </w:r>
    </w:p>
    <w:p w14:paraId="5D8C849B">
      <w:pPr>
        <w:bidi w:val="0"/>
      </w:pPr>
      <w:r>
        <w:t>（5）小满寒</w:t>
      </w:r>
    </w:p>
    <w:p w14:paraId="367F2473">
      <w:pPr>
        <w:bidi w:val="0"/>
      </w:pPr>
      <w:r>
        <w:t>5月中旬至6月上旬，遇上日平均气温连续3天≤20</w:t>
      </w:r>
      <w:r>
        <w:rPr>
          <w:rFonts w:hint="eastAsia"/>
          <w:lang w:val="en-US" w:eastAsia="zh-CN"/>
        </w:rPr>
        <w:t>℃</w:t>
      </w:r>
      <w:r>
        <w:t>的天气，这时间正值早稻分蘖，穗化和孕穗阶段，对其早快发有影响，因为这种天气多出现在小满前后，故群众称其为“小满寒”，其</w:t>
      </w:r>
      <w:r>
        <w:rPr>
          <w:rFonts w:hint="eastAsia"/>
          <w:lang w:eastAsia="zh-CN"/>
        </w:rPr>
        <w:t>出现概率</w:t>
      </w:r>
      <w:r>
        <w:t>为50%。</w:t>
      </w:r>
    </w:p>
    <w:p w14:paraId="5E1FEA39">
      <w:pPr>
        <w:bidi w:val="0"/>
      </w:pPr>
      <w:r>
        <w:t>（6）寒露风</w:t>
      </w:r>
    </w:p>
    <w:p w14:paraId="5852735C">
      <w:pPr>
        <w:bidi w:val="0"/>
      </w:pPr>
      <w:r>
        <w:t>此时因北方冷空气入侵，使气温急剧下降，影响二晚抽穗，开花授粉。因这种灾害多发生在秋分至寒露之间，故称为寒露风。寒露风分轻型、重型。</w:t>
      </w:r>
    </w:p>
    <w:p w14:paraId="411247EA">
      <w:pPr>
        <w:bidi w:val="0"/>
      </w:pPr>
      <w:r>
        <w:rPr>
          <w:rFonts w:hint="default" w:ascii="Calibri" w:hAnsi="Calibri" w:cs="Calibri"/>
        </w:rPr>
        <w:t>①</w:t>
      </w:r>
      <w:r>
        <w:t>轻型</w:t>
      </w:r>
    </w:p>
    <w:p w14:paraId="0EC26312">
      <w:pPr>
        <w:bidi w:val="0"/>
      </w:pPr>
      <w:r>
        <w:t>入秋后，连续三天日平均气温等于或低于20</w:t>
      </w:r>
      <w:r>
        <w:rPr>
          <w:rFonts w:hint="eastAsia"/>
          <w:lang w:val="en-US" w:eastAsia="zh-CN"/>
        </w:rPr>
        <w:t>℃</w:t>
      </w:r>
      <w:r>
        <w:t>的低温天气，最早出现在9月9日，最晚出现在10月4日。</w:t>
      </w:r>
    </w:p>
    <w:p w14:paraId="4C760AAD">
      <w:pPr>
        <w:bidi w:val="0"/>
      </w:pPr>
      <w:r>
        <w:rPr>
          <w:rFonts w:hint="default" w:ascii="Calibri" w:hAnsi="Calibri" w:cs="Calibri"/>
        </w:rPr>
        <w:t>②</w:t>
      </w:r>
      <w:r>
        <w:t>重型</w:t>
      </w:r>
    </w:p>
    <w:p w14:paraId="39A9E8D2">
      <w:pPr>
        <w:bidi w:val="0"/>
        <w:rPr>
          <w:rFonts w:hint="default"/>
          <w:lang w:val="en-US" w:eastAsia="zh-CN"/>
        </w:rPr>
      </w:pPr>
      <w:r>
        <w:t>连续三天日平均气温等于或低于20</w:t>
      </w:r>
      <w:r>
        <w:rPr>
          <w:rFonts w:hint="eastAsia"/>
          <w:lang w:val="en-US" w:eastAsia="zh-CN"/>
        </w:rPr>
        <w:t>℃</w:t>
      </w:r>
      <w:r>
        <w:t>或连续两天日平均气温低于20</w:t>
      </w:r>
      <w:r>
        <w:rPr>
          <w:rFonts w:hint="eastAsia"/>
          <w:lang w:val="en-US" w:eastAsia="zh-CN"/>
        </w:rPr>
        <w:t>℃</w:t>
      </w:r>
      <w:r>
        <w:t>，其中有一天最低气温低于16</w:t>
      </w:r>
      <w:r>
        <w:rPr>
          <w:rFonts w:hint="eastAsia"/>
          <w:lang w:val="en-US" w:eastAsia="zh-CN"/>
        </w:rPr>
        <w:t>℃</w:t>
      </w:r>
      <w:r>
        <w:t>的低温天气，最早出现在9月10日，最晚出现在10月12日</w:t>
      </w:r>
      <w:r>
        <w:rPr>
          <w:rFonts w:hint="eastAsia"/>
          <w:lang w:val="en-US" w:eastAsia="zh-CN"/>
        </w:rPr>
        <w:t>。</w:t>
      </w:r>
    </w:p>
    <w:p w14:paraId="59D7A261">
      <w:pPr>
        <w:pStyle w:val="3"/>
        <w:bidi w:val="0"/>
        <w:rPr>
          <w:rFonts w:hint="eastAsia"/>
          <w:lang w:val="en-US" w:eastAsia="zh-CN"/>
        </w:rPr>
      </w:pPr>
      <w:bookmarkStart w:id="11" w:name="_Toc29037"/>
      <w:r>
        <w:rPr>
          <w:rFonts w:hint="eastAsia"/>
          <w:lang w:val="en-US" w:eastAsia="zh-CN"/>
        </w:rPr>
        <w:t>1.4 社会经济状况</w:t>
      </w:r>
      <w:bookmarkEnd w:id="11"/>
    </w:p>
    <w:p w14:paraId="70F991C0">
      <w:pPr>
        <w:pStyle w:val="4"/>
        <w:bidi w:val="0"/>
        <w:rPr>
          <w:rFonts w:hint="default"/>
          <w:lang w:val="en-US" w:eastAsia="zh-CN"/>
        </w:rPr>
      </w:pPr>
      <w:r>
        <w:rPr>
          <w:rFonts w:hint="eastAsia"/>
          <w:lang w:val="en-US" w:eastAsia="zh-CN"/>
        </w:rPr>
        <w:t>1.4.1 人口及劳动力</w:t>
      </w:r>
    </w:p>
    <w:p w14:paraId="4B15BDB2">
      <w:pPr>
        <w:bidi w:val="0"/>
        <w:rPr>
          <w:rFonts w:hint="eastAsia"/>
          <w:lang w:eastAsia="zh-CN"/>
        </w:rPr>
      </w:pPr>
      <w:r>
        <w:rPr>
          <w:rFonts w:hint="eastAsia"/>
          <w:lang w:val="en-US" w:eastAsia="zh-CN"/>
        </w:rPr>
        <w:t>2025年</w:t>
      </w:r>
      <w:r>
        <w:rPr>
          <w:rFonts w:hint="eastAsia"/>
          <w:lang w:eastAsia="zh-CN"/>
        </w:rPr>
        <w:t>昌江区下辖西郊街道、新枫街道、吕蒙街道 3 个街道；丽阳镇、鲇鱼山镇、荷塘乡 3 个乡镇，全域 33 个行政村、20 个社区，属于景德镇市中心城区，城乡交融特征显著。全区常住人口约28 万余人；城镇化率超 75%，远高于江西省平均水平：北部城区人口密集，荷塘乡、丽阳镇、鲇鱼山镇以乡村人口为主；人口整体呈城区集聚、乡村小幅外流、老龄化逐步加深态势。城区吸纳大量外来务工人员（陶瓷、生物医药、电子信息产业务工群体）；乡村青壮年劳动力向城区、景德镇市域及省外转移，农村留守老人、儿童占比偏高。</w:t>
      </w:r>
    </w:p>
    <w:p w14:paraId="6EDD2E48">
      <w:pPr>
        <w:bidi w:val="0"/>
        <w:rPr>
          <w:rFonts w:hint="eastAsia"/>
          <w:lang w:val="en-US" w:eastAsia="zh-CN"/>
        </w:rPr>
      </w:pPr>
      <w:r>
        <w:rPr>
          <w:rFonts w:hint="eastAsia"/>
          <w:lang w:val="en-US" w:eastAsia="zh-CN"/>
        </w:rPr>
        <w:t>全区适龄劳动力总量约 16 万人：</w:t>
      </w:r>
    </w:p>
    <w:p w14:paraId="6EA721FE">
      <w:pPr>
        <w:bidi w:val="0"/>
        <w:rPr>
          <w:rFonts w:hint="eastAsia"/>
          <w:lang w:val="en-US" w:eastAsia="zh-CN"/>
        </w:rPr>
      </w:pPr>
      <w:r>
        <w:rPr>
          <w:rFonts w:hint="eastAsia"/>
          <w:lang w:val="en-US" w:eastAsia="zh-CN"/>
        </w:rPr>
        <w:t>第一产业（农业）劳动力：仅占 12% 左右，多为中老年务农人口；</w:t>
      </w:r>
    </w:p>
    <w:p w14:paraId="2EB598C8">
      <w:pPr>
        <w:bidi w:val="0"/>
        <w:rPr>
          <w:rFonts w:hint="eastAsia"/>
          <w:lang w:val="en-US" w:eastAsia="zh-CN"/>
        </w:rPr>
      </w:pPr>
      <w:r>
        <w:rPr>
          <w:rFonts w:hint="eastAsia"/>
          <w:lang w:val="en-US" w:eastAsia="zh-CN"/>
        </w:rPr>
        <w:t>第二产业：主导吸纳就业，集中在昌江产业园、鱼山医药园、电子信息园区（医药化工、新材料、电子制造、陶瓷配套），是本地劳动力主要就业渠道；</w:t>
      </w:r>
    </w:p>
    <w:p w14:paraId="16A868DE">
      <w:pPr>
        <w:bidi w:val="0"/>
        <w:rPr>
          <w:rFonts w:hint="eastAsia"/>
          <w:lang w:val="en-US" w:eastAsia="zh-CN"/>
        </w:rPr>
      </w:pPr>
      <w:r>
        <w:rPr>
          <w:rFonts w:hint="eastAsia"/>
          <w:lang w:val="en-US" w:eastAsia="zh-CN"/>
        </w:rPr>
        <w:t>第三产业：商贸物流、文旅、社区服务、家政养老吸纳大量女性灵活就业人员</w:t>
      </w:r>
    </w:p>
    <w:p w14:paraId="7BEF3FE1">
      <w:pPr>
        <w:pStyle w:val="4"/>
        <w:bidi w:val="0"/>
        <w:rPr>
          <w:rFonts w:hint="default"/>
          <w:lang w:val="en-US" w:eastAsia="zh-CN"/>
        </w:rPr>
      </w:pPr>
      <w:r>
        <w:rPr>
          <w:rFonts w:hint="eastAsia"/>
          <w:lang w:val="en-US" w:eastAsia="zh-CN"/>
        </w:rPr>
        <w:t>1.4.2 农业生产水平</w:t>
      </w:r>
    </w:p>
    <w:p w14:paraId="39F8DEFB">
      <w:pPr>
        <w:bidi w:val="0"/>
        <w:rPr>
          <w:rFonts w:hint="eastAsia"/>
          <w:lang w:eastAsia="zh-CN"/>
        </w:rPr>
      </w:pPr>
      <w:r>
        <w:t>农业龙头企业：亿元以上农业龙头企业 3 家，绿色有机农产品认证主体 17 家；村集体经济：全域 33 个行政村集体经济收入全部突破 15 万元；惠农补贴：近三年累计发放耕地补贴、种粮补贴 3138 万元，依托惠农一卡通直达农户；森林资源：全区森林覆盖率 55.3%，荷塘乡为水源涵养生态林区，林下经济稳步发展</w:t>
      </w:r>
      <w:r>
        <w:rPr>
          <w:rFonts w:hint="eastAsia"/>
          <w:lang w:eastAsia="zh-CN"/>
        </w:rPr>
        <w:t>。</w:t>
      </w:r>
      <w:r>
        <w:t>近郊都市农业属性突出：保障城区生鲜供给优先，休闲采摘、乡村文旅占比逐年提升；传统散户务农逐步退出，合作社、家庭农场成为生产主体</w:t>
      </w:r>
      <w:r>
        <w:rPr>
          <w:rFonts w:hint="eastAsia"/>
          <w:lang w:eastAsia="zh-CN"/>
        </w:rPr>
        <w:t>。</w:t>
      </w:r>
    </w:p>
    <w:p w14:paraId="2B1B1BB4">
      <w:pPr>
        <w:pStyle w:val="4"/>
        <w:bidi w:val="0"/>
        <w:rPr>
          <w:rFonts w:hint="default"/>
          <w:lang w:val="en-US" w:eastAsia="zh-CN"/>
        </w:rPr>
      </w:pPr>
      <w:r>
        <w:rPr>
          <w:rFonts w:hint="eastAsia"/>
          <w:lang w:val="en-US" w:eastAsia="zh-CN"/>
        </w:rPr>
        <w:t>1.4.3 地方财政与农民收入水平</w:t>
      </w:r>
    </w:p>
    <w:p w14:paraId="7E1F2064">
      <w:pPr>
        <w:bidi w:val="0"/>
        <w:rPr>
          <w:rFonts w:hint="eastAsia"/>
          <w:lang w:val="en-US" w:eastAsia="zh-CN"/>
        </w:rPr>
      </w:pPr>
      <w:r>
        <w:t>2025 年昌江区经济承压稳进，总量首次迈上300 亿元台阶，多项核心指标稳居景德镇市前列，产业结构持续优化、服务业提速显著、工业韧性较强，城乡收入稳步提升，项目落地成效突出</w:t>
      </w:r>
      <w:r>
        <w:rPr>
          <w:rFonts w:hint="eastAsia"/>
          <w:lang w:eastAsia="zh-CN"/>
        </w:rPr>
        <w:t>。</w:t>
      </w:r>
      <w:r>
        <w:t>全年 GDP 达310.2 亿元，同比增长 3.8%；人均 GDP 超 15 万元，位列江西省县区前列</w:t>
      </w:r>
      <w:r>
        <w:rPr>
          <w:rFonts w:hint="eastAsia"/>
          <w:lang w:eastAsia="zh-CN"/>
        </w:rPr>
        <w:t>。</w:t>
      </w:r>
      <w:r>
        <w:t>一产增加值 5.53 亿元（+1.2%）、二产 165.53 亿元（+0.9%）、三产 139.14 亿元（+7.6%），结构占比1.8:53.4:44.9；第二产业仍是经济支柱，第三产业增速领跑，成为拉动增长核心动力</w:t>
      </w:r>
      <w:r>
        <w:rPr>
          <w:rFonts w:hint="eastAsia"/>
          <w:lang w:eastAsia="zh-CN"/>
        </w:rPr>
        <w:t>。</w:t>
      </w:r>
    </w:p>
    <w:p w14:paraId="48358B85">
      <w:pPr>
        <w:bidi w:val="0"/>
        <w:rPr>
          <w:rFonts w:hint="eastAsia"/>
          <w:lang w:val="en-US" w:eastAsia="zh-CN"/>
        </w:rPr>
      </w:pPr>
      <w:r>
        <w:rPr>
          <w:rFonts w:hint="default"/>
          <w:lang w:val="en-US" w:eastAsia="zh-CN"/>
        </w:rPr>
        <w:t>202</w:t>
      </w:r>
      <w:r>
        <w:rPr>
          <w:rFonts w:hint="eastAsia"/>
          <w:lang w:val="en-US" w:eastAsia="zh-CN"/>
        </w:rPr>
        <w:t>5</w:t>
      </w:r>
      <w:r>
        <w:rPr>
          <w:rFonts w:hint="default"/>
          <w:lang w:val="en-US" w:eastAsia="zh-CN"/>
        </w:rPr>
        <w:t>年</w:t>
      </w:r>
      <w:r>
        <w:t>城镇居民人均可支配收入54941 元（+3.8%），农村居民人均可支配收入27363 元（+5.2%），农村收入增速持续快于城镇；城乡收入比缩小至 2.01，城乡差距进一步收窄</w:t>
      </w:r>
      <w:r>
        <w:rPr>
          <w:rFonts w:hint="eastAsia"/>
          <w:lang w:val="en-US" w:eastAsia="zh-CN"/>
        </w:rPr>
        <w:t>。</w:t>
      </w:r>
    </w:p>
    <w:p w14:paraId="35AC2F34">
      <w:pPr>
        <w:bidi w:val="0"/>
        <w:rPr>
          <w:rFonts w:hint="eastAsia"/>
          <w:lang w:val="en-US" w:eastAsia="zh-CN"/>
        </w:rPr>
      </w:pPr>
      <w:r>
        <w:t>2025 年昌江区整体经济稳中提质，依托生物医药 + 电子信息双工业支柱、陶瓷特色文旅服务业、城郊特色农业构建多元产业格局，投资拉动强劲、科创主体扩容、城乡居民增收稳健；短板集中在传统工业增速放缓、招商回落、人口自然负增长，后续将依托航道枢纽、未来食品产业园、电子信息三期等项目持续释放增长潜力</w:t>
      </w:r>
      <w:r>
        <w:rPr>
          <w:rFonts w:hint="eastAsia"/>
          <w:lang w:eastAsia="zh-CN"/>
        </w:rPr>
        <w:t>。</w:t>
      </w:r>
    </w:p>
    <w:p w14:paraId="022AF666">
      <w:pPr>
        <w:pStyle w:val="4"/>
        <w:bidi w:val="0"/>
        <w:rPr>
          <w:rFonts w:hint="eastAsia"/>
          <w:lang w:val="en-US" w:eastAsia="zh-CN"/>
        </w:rPr>
      </w:pPr>
      <w:r>
        <w:rPr>
          <w:rFonts w:hint="eastAsia"/>
          <w:lang w:val="en-US" w:eastAsia="zh-CN"/>
        </w:rPr>
        <w:t>1.4.4 社会化服务体系</w:t>
      </w:r>
    </w:p>
    <w:p w14:paraId="0519C27D">
      <w:pPr>
        <w:rPr>
          <w:color w:val="auto"/>
        </w:rPr>
      </w:pPr>
      <w:r>
        <w:rPr>
          <w:rFonts w:hint="eastAsia"/>
          <w:color w:val="auto"/>
          <w:lang w:eastAsia="zh-CN"/>
        </w:rPr>
        <w:t>昌江区</w:t>
      </w:r>
      <w:r>
        <w:rPr>
          <w:color w:val="auto"/>
        </w:rPr>
        <w:t>农业技术力量雄厚，技术服务组织健全，技术推广手段和推广装备较好。</w:t>
      </w:r>
      <w:r>
        <w:rPr>
          <w:rFonts w:hint="eastAsia"/>
          <w:color w:val="auto"/>
          <w:lang w:eastAsia="zh-CN"/>
        </w:rPr>
        <w:t>昌江区</w:t>
      </w:r>
      <w:r>
        <w:rPr>
          <w:color w:val="auto"/>
        </w:rPr>
        <w:t>全面推行农技员包村联户（合作社、企业、基地等），逐步形成农技员抓示范户、示范户带动辐射户农业技术推广新机制。积极开展农业科技入户活动，利用O2O平台，通过组织农技服务小分队、举办培训班、发放资料等方式及时解决农民在水稻、</w:t>
      </w:r>
      <w:r>
        <w:rPr>
          <w:rFonts w:hint="eastAsia"/>
          <w:color w:val="auto"/>
        </w:rPr>
        <w:t>苗木</w:t>
      </w:r>
      <w:r>
        <w:rPr>
          <w:color w:val="auto"/>
        </w:rPr>
        <w:t>种植和养猪、沼气、农机等农业生产中遇到的技术问题。</w:t>
      </w:r>
    </w:p>
    <w:p w14:paraId="7E19744C">
      <w:pPr>
        <w:bidi w:val="0"/>
        <w:rPr>
          <w:rFonts w:hint="eastAsia"/>
          <w:lang w:val="en-US" w:eastAsia="zh-CN"/>
        </w:rPr>
      </w:pPr>
      <w:r>
        <w:rPr>
          <w:color w:val="auto"/>
        </w:rPr>
        <w:t>随着社会经济的发展和农业科学技术的推广与普及，项目区农业劳动力文化水平普遍提高，具有初中以上文化水平的占85%以上，广大群众形成了学科学、讲科学、用科学的良好氛围</w:t>
      </w:r>
      <w:r>
        <w:rPr>
          <w:rFonts w:hint="eastAsia"/>
          <w:lang w:eastAsia="zh-CN"/>
        </w:rPr>
        <w:t>。</w:t>
      </w:r>
    </w:p>
    <w:p w14:paraId="6E167965">
      <w:pPr>
        <w:pStyle w:val="3"/>
        <w:bidi w:val="0"/>
        <w:rPr>
          <w:rFonts w:hint="eastAsia"/>
          <w:lang w:val="en-US" w:eastAsia="zh-CN"/>
        </w:rPr>
      </w:pPr>
      <w:bookmarkStart w:id="12" w:name="_Toc9216"/>
      <w:r>
        <w:rPr>
          <w:rFonts w:hint="eastAsia"/>
          <w:lang w:val="en-US" w:eastAsia="zh-CN"/>
        </w:rPr>
        <w:t>1.5 基础设施状况</w:t>
      </w:r>
      <w:bookmarkEnd w:id="12"/>
    </w:p>
    <w:p w14:paraId="1C5DB8C7">
      <w:pPr>
        <w:pStyle w:val="4"/>
        <w:bidi w:val="0"/>
        <w:rPr>
          <w:rFonts w:hint="eastAsia"/>
          <w:lang w:val="en-US" w:eastAsia="zh-CN"/>
        </w:rPr>
      </w:pPr>
      <w:r>
        <w:rPr>
          <w:rFonts w:hint="eastAsia"/>
          <w:lang w:val="en-US" w:eastAsia="zh-CN"/>
        </w:rPr>
        <w:t>1.5.1 灌溉与排水工程现状</w:t>
      </w:r>
    </w:p>
    <w:p w14:paraId="73C8030C">
      <w:pPr>
        <w:bidi w:val="0"/>
        <w:rPr>
          <w:rFonts w:hint="eastAsia"/>
          <w:lang w:val="en-US" w:eastAsia="zh-CN"/>
        </w:rPr>
      </w:pPr>
      <w:r>
        <w:rPr>
          <w:color w:val="auto"/>
        </w:rPr>
        <w:t>项目区内水源充足，现有渠道基础较好，骨干水利工程完好，基础设施已</w:t>
      </w:r>
      <w:r>
        <w:rPr>
          <w:rFonts w:hint="eastAsia"/>
          <w:color w:val="auto"/>
          <w:lang w:eastAsia="zh-CN"/>
        </w:rPr>
        <w:t>具备</w:t>
      </w:r>
      <w:r>
        <w:rPr>
          <w:color w:val="auto"/>
        </w:rPr>
        <w:t>一定规模，设施基本配套，农田灌排率</w:t>
      </w:r>
      <w:r>
        <w:rPr>
          <w:rFonts w:hint="eastAsia"/>
          <w:color w:val="auto"/>
          <w:lang w:val="en-US" w:eastAsia="zh-CN"/>
        </w:rPr>
        <w:t>高。现存主要问题是部分渠道常年运行出现淤堵；历年项目建设硬化渠道因使用不当造成损坏；土质农渠灌溉水利用度不高，需要对主要引水渠道硬化</w:t>
      </w:r>
      <w:r>
        <w:rPr>
          <w:rFonts w:hint="eastAsia"/>
          <w:lang w:val="en-US" w:eastAsia="zh-CN"/>
        </w:rPr>
        <w:t>。</w:t>
      </w:r>
    </w:p>
    <w:p w14:paraId="2CA55B1A">
      <w:pPr>
        <w:pStyle w:val="4"/>
        <w:bidi w:val="0"/>
        <w:rPr>
          <w:rFonts w:hint="eastAsia"/>
          <w:lang w:val="en-US" w:eastAsia="zh-CN"/>
        </w:rPr>
      </w:pPr>
      <w:r>
        <w:rPr>
          <w:rFonts w:hint="eastAsia"/>
          <w:lang w:val="en-US" w:eastAsia="zh-CN"/>
        </w:rPr>
        <w:t>1.5.2 田间道路工程现状</w:t>
      </w:r>
    </w:p>
    <w:p w14:paraId="49968E0D">
      <w:pPr>
        <w:bidi w:val="0"/>
      </w:pPr>
      <w:r>
        <w:rPr>
          <w:rFonts w:hint="eastAsia"/>
        </w:rPr>
        <w:t>项目区大多紧邻县道，各自然村均已通水泥路，通至田间的主要道路大多为水泥路，少部分为砂砾石路面，区内交通骨干网络已经形成。</w:t>
      </w:r>
    </w:p>
    <w:p w14:paraId="0F1787FC">
      <w:pPr>
        <w:bidi w:val="0"/>
        <w:rPr>
          <w:rFonts w:hint="eastAsia"/>
        </w:rPr>
      </w:pPr>
      <w:r>
        <w:rPr>
          <w:rFonts w:hint="eastAsia"/>
          <w:lang w:val="en-US" w:eastAsia="zh-CN"/>
        </w:rPr>
        <w:t>经历多年的高标准农田建设，项目区</w:t>
      </w:r>
      <w:r>
        <w:rPr>
          <w:rFonts w:hint="eastAsia"/>
        </w:rPr>
        <w:t>田间道路</w:t>
      </w:r>
      <w:r>
        <w:rPr>
          <w:rFonts w:hint="eastAsia"/>
          <w:lang w:val="en-US" w:eastAsia="zh-CN"/>
        </w:rPr>
        <w:t>网初具规模，道路通达率较高</w:t>
      </w:r>
      <w:r>
        <w:rPr>
          <w:rFonts w:hint="eastAsia"/>
        </w:rPr>
        <w:t>，</w:t>
      </w:r>
      <w:r>
        <w:rPr>
          <w:rFonts w:hint="eastAsia"/>
          <w:lang w:val="en-US" w:eastAsia="zh-CN"/>
        </w:rPr>
        <w:t>但</w:t>
      </w:r>
      <w:r>
        <w:rPr>
          <w:rFonts w:hint="eastAsia"/>
        </w:rPr>
        <w:t>田间道</w:t>
      </w:r>
      <w:r>
        <w:rPr>
          <w:rFonts w:hint="eastAsia"/>
          <w:lang w:val="en-US" w:eastAsia="zh-CN"/>
        </w:rPr>
        <w:t>依然少量为土质</w:t>
      </w:r>
      <w:r>
        <w:rPr>
          <w:rFonts w:hint="eastAsia"/>
        </w:rPr>
        <w:t>路面</w:t>
      </w:r>
      <w:r>
        <w:rPr>
          <w:rFonts w:hint="eastAsia"/>
          <w:lang w:eastAsia="zh-CN"/>
        </w:rPr>
        <w:t>，</w:t>
      </w:r>
      <w:r>
        <w:rPr>
          <w:rFonts w:hint="eastAsia"/>
        </w:rPr>
        <w:t>生产路多为土质路面，雨天泥泞难行，</w:t>
      </w:r>
      <w:r>
        <w:rPr>
          <w:rFonts w:hint="eastAsia"/>
          <w:lang w:val="en-US" w:eastAsia="zh-CN"/>
        </w:rPr>
        <w:t>经多年使用现已坑洼不平</w:t>
      </w:r>
      <w:r>
        <w:rPr>
          <w:rFonts w:hint="eastAsia"/>
        </w:rPr>
        <w:t>。</w:t>
      </w:r>
    </w:p>
    <w:p w14:paraId="686D441C">
      <w:pPr>
        <w:pStyle w:val="4"/>
        <w:bidi w:val="0"/>
        <w:rPr>
          <w:rFonts w:hint="eastAsia"/>
          <w:lang w:val="en-US" w:eastAsia="zh-CN"/>
        </w:rPr>
      </w:pPr>
      <w:r>
        <w:rPr>
          <w:rFonts w:hint="eastAsia"/>
          <w:lang w:val="en-US" w:eastAsia="zh-CN"/>
        </w:rPr>
        <w:t>1.5.3 渠系建筑物现状</w:t>
      </w:r>
    </w:p>
    <w:p w14:paraId="63B27341">
      <w:pPr>
        <w:rPr>
          <w:rFonts w:hint="eastAsia"/>
          <w:lang w:val="en-US" w:eastAsia="zh-CN"/>
        </w:rPr>
      </w:pPr>
      <w:r>
        <w:rPr>
          <w:rFonts w:hint="eastAsia"/>
          <w:lang w:val="en-US" w:eastAsia="zh-CN"/>
        </w:rPr>
        <w:t>项目渠系建筑物整体完善，部分设施出现损坏淤积，需要修复盖板涵。</w:t>
      </w:r>
    </w:p>
    <w:p w14:paraId="26C8F46E">
      <w:pPr>
        <w:pStyle w:val="3"/>
        <w:bidi w:val="0"/>
        <w:rPr>
          <w:rFonts w:hint="eastAsia"/>
          <w:lang w:val="en-US" w:eastAsia="zh-CN"/>
        </w:rPr>
      </w:pPr>
      <w:bookmarkStart w:id="13" w:name="_Toc11669"/>
      <w:r>
        <w:rPr>
          <w:rFonts w:hint="eastAsia"/>
          <w:lang w:val="en-US" w:eastAsia="zh-CN"/>
        </w:rPr>
        <w:t>1.6 制约因素</w:t>
      </w:r>
      <w:bookmarkEnd w:id="13"/>
    </w:p>
    <w:p w14:paraId="14C5D468">
      <w:pPr>
        <w:bidi w:val="0"/>
        <w:rPr>
          <w:rFonts w:hint="eastAsia"/>
          <w:lang w:val="en-US" w:eastAsia="zh-CN"/>
        </w:rPr>
      </w:pPr>
      <w:r>
        <w:rPr>
          <w:color w:val="auto"/>
        </w:rPr>
        <w:t>在已</w:t>
      </w:r>
      <w:r>
        <w:rPr>
          <w:rFonts w:hint="eastAsia"/>
          <w:color w:val="auto"/>
          <w:lang w:eastAsia="zh-CN"/>
        </w:rPr>
        <w:t>竣工</w:t>
      </w:r>
      <w:r>
        <w:rPr>
          <w:color w:val="auto"/>
        </w:rPr>
        <w:t>的农田工程项目中，</w:t>
      </w:r>
      <w:r>
        <w:rPr>
          <w:rFonts w:hint="eastAsia"/>
          <w:color w:val="auto"/>
          <w:lang w:val="en-US" w:eastAsia="zh-CN"/>
        </w:rPr>
        <w:t>存在</w:t>
      </w:r>
      <w:r>
        <w:rPr>
          <w:color w:val="auto"/>
        </w:rPr>
        <w:t>人为损坏、自然毁损现象，影响工程正常使用。尽管各项目都制定了管护措施，</w:t>
      </w:r>
      <w:r>
        <w:rPr>
          <w:rFonts w:hint="eastAsia"/>
          <w:color w:val="auto"/>
          <w:lang w:val="en-US" w:eastAsia="zh-CN"/>
        </w:rPr>
        <w:t>但因</w:t>
      </w:r>
      <w:r>
        <w:rPr>
          <w:color w:val="auto"/>
        </w:rPr>
        <w:t>群众管护意识差，只顾用不愿管</w:t>
      </w:r>
      <w:r>
        <w:rPr>
          <w:rFonts w:hint="eastAsia"/>
          <w:color w:val="auto"/>
          <w:lang w:eastAsia="zh-CN"/>
        </w:rPr>
        <w:t>，</w:t>
      </w:r>
      <w:r>
        <w:rPr>
          <w:color w:val="auto"/>
        </w:rPr>
        <w:t>不少地方形成边新建边毁损的现象，农田水利工程作用呈逐年降低态势</w:t>
      </w:r>
      <w:r>
        <w:rPr>
          <w:rFonts w:hint="eastAsia"/>
          <w:lang w:val="en-US" w:eastAsia="zh-CN"/>
        </w:rPr>
        <w:t>。</w:t>
      </w:r>
    </w:p>
    <w:p w14:paraId="15FF1BC3">
      <w:pPr>
        <w:pStyle w:val="3"/>
        <w:bidi w:val="0"/>
        <w:rPr>
          <w:rFonts w:hint="eastAsia"/>
          <w:lang w:val="en-US" w:eastAsia="zh-CN"/>
        </w:rPr>
      </w:pPr>
      <w:bookmarkStart w:id="14" w:name="_Toc2455"/>
      <w:r>
        <w:rPr>
          <w:rFonts w:hint="eastAsia"/>
          <w:lang w:val="en-US" w:eastAsia="zh-CN"/>
        </w:rPr>
        <w:t>1.7 公众参与</w:t>
      </w:r>
      <w:bookmarkEnd w:id="14"/>
    </w:p>
    <w:p w14:paraId="7FAA9AD9">
      <w:pPr>
        <w:pStyle w:val="4"/>
        <w:bidi w:val="0"/>
        <w:rPr>
          <w:rFonts w:hint="eastAsia"/>
          <w:lang w:val="en-US" w:eastAsia="zh-CN"/>
        </w:rPr>
      </w:pPr>
      <w:r>
        <w:rPr>
          <w:rFonts w:hint="eastAsia"/>
          <w:lang w:val="en-US" w:eastAsia="zh-CN"/>
        </w:rPr>
        <w:t>1.7.1 公众参与规划设计情况</w:t>
      </w:r>
    </w:p>
    <w:p w14:paraId="28D09D07">
      <w:pPr>
        <w:bidi w:val="0"/>
        <w:rPr>
          <w:rFonts w:hint="default"/>
        </w:rPr>
      </w:pPr>
      <w:r>
        <w:rPr>
          <w:rFonts w:hint="default"/>
        </w:rPr>
        <w:t>项目的设计本着实事求是、一切从实际出发的态度，在实地踏勘的基础上，充分征求了当地各部门和民众的意见和建议。为了解项目区农村社会经济状况、农业生产情况以及农民对高标准农田项目的态度，项目组对涉及农户进行了走访和调查。</w:t>
      </w:r>
    </w:p>
    <w:p w14:paraId="719427D5">
      <w:pPr>
        <w:bidi w:val="0"/>
        <w:rPr>
          <w:rFonts w:hint="default"/>
        </w:rPr>
      </w:pPr>
      <w:r>
        <w:rPr>
          <w:rFonts w:hint="default"/>
        </w:rPr>
        <w:t>在征求意见的过程中项目组人员也尽可能多地向村民代表解释高标准农田建设的相关政策，分析项目实施的诸多效益。本项目得到绝大多数</w:t>
      </w:r>
      <w:r>
        <w:rPr>
          <w:rFonts w:hint="eastAsia"/>
          <w:lang w:eastAsia="zh-CN"/>
        </w:rPr>
        <w:t>村民</w:t>
      </w:r>
      <w:r>
        <w:rPr>
          <w:rFonts w:hint="default"/>
        </w:rPr>
        <w:t>代表的支持和配合，群众参与的积极性很高。项目主要的公众参与形式有：</w:t>
      </w:r>
    </w:p>
    <w:p w14:paraId="1C282E4E">
      <w:pPr>
        <w:bidi w:val="0"/>
        <w:rPr>
          <w:rFonts w:hint="default"/>
          <w:b/>
          <w:bCs/>
        </w:rPr>
      </w:pPr>
      <w:bookmarkStart w:id="15" w:name="_Toc31825"/>
      <w:r>
        <w:rPr>
          <w:rFonts w:hint="eastAsia"/>
          <w:b/>
          <w:bCs/>
          <w:lang w:val="en-US" w:eastAsia="zh-CN"/>
        </w:rPr>
        <w:t>（1）</w:t>
      </w:r>
      <w:r>
        <w:rPr>
          <w:rFonts w:hint="default"/>
          <w:b/>
          <w:bCs/>
        </w:rPr>
        <w:t>广泛</w:t>
      </w:r>
      <w:r>
        <w:rPr>
          <w:rFonts w:hint="eastAsia"/>
          <w:b/>
          <w:bCs/>
          <w:lang w:eastAsia="zh-CN"/>
        </w:rPr>
        <w:t>开展</w:t>
      </w:r>
      <w:r>
        <w:rPr>
          <w:rFonts w:hint="default"/>
          <w:b/>
          <w:bCs/>
        </w:rPr>
        <w:t>实地调查</w:t>
      </w:r>
      <w:bookmarkEnd w:id="15"/>
    </w:p>
    <w:p w14:paraId="3F36BF3E">
      <w:pPr>
        <w:bidi w:val="0"/>
        <w:rPr>
          <w:rFonts w:hint="default"/>
        </w:rPr>
      </w:pPr>
      <w:r>
        <w:rPr>
          <w:rFonts w:hint="default"/>
        </w:rPr>
        <w:t>项目的设计始终坚持从实际出发，以切实改善农业生产条件和生态环境为宗旨。项目设计组人员和项目承担单位进行了广泛的实地调查，根据群众的经验积累和生产、生活实际，保证本项目规划更贴近当地的经济发展水平和当地居民的生产、生活习惯，保障项目的合法性和合理性。</w:t>
      </w:r>
    </w:p>
    <w:p w14:paraId="698E4F16">
      <w:pPr>
        <w:bidi w:val="0"/>
        <w:rPr>
          <w:rFonts w:hint="default"/>
          <w:b/>
          <w:bCs/>
        </w:rPr>
      </w:pPr>
      <w:bookmarkStart w:id="16" w:name="_Toc20211"/>
      <w:r>
        <w:rPr>
          <w:rFonts w:hint="eastAsia"/>
          <w:b/>
          <w:bCs/>
          <w:lang w:val="en-US" w:eastAsia="zh-CN"/>
        </w:rPr>
        <w:t>（2）</w:t>
      </w:r>
      <w:r>
        <w:rPr>
          <w:rFonts w:hint="default"/>
          <w:b/>
          <w:bCs/>
        </w:rPr>
        <w:t>深入宣传、征求意见</w:t>
      </w:r>
      <w:bookmarkEnd w:id="16"/>
    </w:p>
    <w:p w14:paraId="2A62163A">
      <w:pPr>
        <w:bidi w:val="0"/>
        <w:rPr>
          <w:rFonts w:hint="eastAsia"/>
          <w:lang w:val="en-US" w:eastAsia="zh-CN"/>
        </w:rPr>
      </w:pPr>
      <w:r>
        <w:rPr>
          <w:rFonts w:hint="default"/>
        </w:rPr>
        <w:t>为了增进群众对高标准农田工作的理解和支持，动员、引导公众积极参与，创建公众参与的形式，奠定高标准农田工作得以顺利落实的群众基础是非常重要的一项基础工作。在项目的设计过程中，为确保项目的切实可行、科学合理，发挥高标准农田的最大效益，项目组</w:t>
      </w:r>
      <w:r>
        <w:rPr>
          <w:rFonts w:hint="eastAsia"/>
          <w:lang w:eastAsia="zh-CN"/>
        </w:rPr>
        <w:t>深入</w:t>
      </w:r>
      <w:r>
        <w:rPr>
          <w:rFonts w:hint="default"/>
        </w:rPr>
        <w:t>项目区所涉及的所有镇、村，对项目的类型、范围、规划目标、资金来源等基本情况，向地区各职能部门和村组干部、群众做了实事求是的说明，广泛</w:t>
      </w:r>
      <w:r>
        <w:rPr>
          <w:rFonts w:hint="eastAsia"/>
          <w:lang w:eastAsia="zh-CN"/>
        </w:rPr>
        <w:t>地</w:t>
      </w:r>
      <w:r>
        <w:rPr>
          <w:rFonts w:hint="default"/>
        </w:rPr>
        <w:t>征求了公众的意见。参与人员对工程的合理性、项目实施后对当地群众带来的效益、搞好施工配合、创造良好的施工环境以及建成后的管理维护等方面，做了很好的发言。</w:t>
      </w:r>
    </w:p>
    <w:p w14:paraId="110BB144">
      <w:pPr>
        <w:pStyle w:val="4"/>
        <w:bidi w:val="0"/>
        <w:rPr>
          <w:rFonts w:hint="eastAsia"/>
          <w:lang w:val="en-US" w:eastAsia="zh-CN"/>
        </w:rPr>
      </w:pPr>
      <w:r>
        <w:rPr>
          <w:rFonts w:hint="eastAsia"/>
          <w:lang w:val="en-US" w:eastAsia="zh-CN"/>
        </w:rPr>
        <w:t>1.7.2 公众意见建议及处理情况</w:t>
      </w:r>
    </w:p>
    <w:p w14:paraId="4DCA2A9D">
      <w:pPr>
        <w:bidi w:val="0"/>
        <w:rPr>
          <w:rFonts w:ascii="宋体" w:hAnsi="宋体" w:eastAsia="宋体" w:cs="宋体"/>
          <w:sz w:val="24"/>
          <w:szCs w:val="24"/>
        </w:rPr>
      </w:pPr>
      <w:r>
        <w:rPr>
          <w:rFonts w:ascii="宋体" w:hAnsi="宋体" w:eastAsia="宋体" w:cs="宋体"/>
          <w:sz w:val="24"/>
          <w:szCs w:val="24"/>
        </w:rPr>
        <w:t>高标准农田建设能够持续改善农业生产基础条件，提升耕地综合质量与粮食单产水平，为当地农户带来实实在在的增收效益，项目所在村组干部、村民均对本次损毁设施修复工作高度支持。农户立足长期田间耕作实践，针对现有设施破损短板建言献策，梳理出需整治的工程问题：</w:t>
      </w:r>
    </w:p>
    <w:p w14:paraId="292C5B7E">
      <w:pPr>
        <w:bidi w:val="0"/>
        <w:rPr>
          <w:rFonts w:hint="default"/>
        </w:rPr>
      </w:pPr>
      <w:r>
        <w:rPr>
          <w:rFonts w:hint="eastAsia"/>
          <w:lang w:val="en-US" w:eastAsia="zh-CN"/>
        </w:rPr>
        <w:t>（1</w:t>
      </w:r>
      <w:r>
        <w:rPr>
          <w:rFonts w:hint="eastAsia"/>
          <w:lang w:eastAsia="zh-CN"/>
        </w:rPr>
        <w:t>）</w:t>
      </w:r>
      <w:r>
        <w:rPr>
          <w:rFonts w:hint="default"/>
        </w:rPr>
        <w:t>鱼山村原有田埂冲毁。</w:t>
      </w:r>
    </w:p>
    <w:p w14:paraId="74331560">
      <w:pPr>
        <w:bidi w:val="0"/>
        <w:rPr>
          <w:rFonts w:hint="default"/>
        </w:rPr>
      </w:pPr>
      <w:r>
        <w:rPr>
          <w:rFonts w:hint="eastAsia"/>
          <w:lang w:val="en-US" w:eastAsia="zh-CN"/>
        </w:rPr>
        <w:t>（2</w:t>
      </w:r>
      <w:r>
        <w:rPr>
          <w:rFonts w:hint="eastAsia"/>
          <w:lang w:eastAsia="zh-CN"/>
        </w:rPr>
        <w:t>）</w:t>
      </w:r>
      <w:r>
        <w:rPr>
          <w:rFonts w:hint="default"/>
        </w:rPr>
        <w:t>新柳村原有u型槽</w:t>
      </w:r>
      <w:r>
        <w:rPr>
          <w:rFonts w:hint="eastAsia"/>
          <w:lang w:val="en-US" w:eastAsia="zh-CN"/>
        </w:rPr>
        <w:t>破损严重，无法满足农业用水需求</w:t>
      </w:r>
      <w:r>
        <w:rPr>
          <w:rFonts w:hint="default"/>
        </w:rPr>
        <w:t>。</w:t>
      </w:r>
    </w:p>
    <w:p w14:paraId="2CED28C3">
      <w:pPr>
        <w:bidi w:val="0"/>
        <w:rPr>
          <w:rFonts w:hint="default"/>
        </w:rPr>
      </w:pPr>
      <w:r>
        <w:rPr>
          <w:rFonts w:hint="eastAsia"/>
          <w:lang w:val="en-US" w:eastAsia="zh-CN"/>
        </w:rPr>
        <w:t>（3</w:t>
      </w:r>
      <w:r>
        <w:rPr>
          <w:rFonts w:hint="eastAsia"/>
          <w:lang w:eastAsia="zh-CN"/>
        </w:rPr>
        <w:t>）</w:t>
      </w:r>
      <w:r>
        <w:rPr>
          <w:rFonts w:hint="eastAsia"/>
          <w:lang w:val="en-US" w:eastAsia="zh-CN"/>
        </w:rPr>
        <w:t>关山村、丽阳村、鱼山村原有灌溉渠道淤积损毁严重</w:t>
      </w:r>
      <w:r>
        <w:rPr>
          <w:rFonts w:hint="default"/>
        </w:rPr>
        <w:t>。</w:t>
      </w:r>
    </w:p>
    <w:p w14:paraId="1DDEA6CD">
      <w:pPr>
        <w:bidi w:val="0"/>
        <w:rPr>
          <w:rFonts w:hint="eastAsia"/>
          <w:lang w:eastAsia="zh-CN"/>
        </w:rPr>
      </w:pPr>
      <w:r>
        <w:rPr>
          <w:rFonts w:hint="eastAsia"/>
          <w:lang w:eastAsia="zh-CN"/>
        </w:rPr>
        <w:t>（</w:t>
      </w:r>
      <w:r>
        <w:rPr>
          <w:rFonts w:hint="eastAsia"/>
          <w:lang w:val="en-US" w:eastAsia="zh-CN"/>
        </w:rPr>
        <w:t>4</w:t>
      </w:r>
      <w:r>
        <w:rPr>
          <w:rFonts w:hint="eastAsia"/>
          <w:lang w:eastAsia="zh-CN"/>
        </w:rPr>
        <w:t>）联村村、凤岗村原有道路损毁。</w:t>
      </w:r>
    </w:p>
    <w:p w14:paraId="79AC7B65">
      <w:pPr>
        <w:bidi w:val="0"/>
        <w:rPr>
          <w:lang w:eastAsia="zh-CN"/>
        </w:rPr>
      </w:pPr>
      <w:r>
        <w:rPr>
          <w:lang w:eastAsia="zh-CN"/>
        </w:rPr>
        <w:t>针对项目区内存在的主要问题，结合农户迫切需求，本次规划设计提出相应的解决对策，并落实到规划图上，具体如下：</w:t>
      </w:r>
    </w:p>
    <w:p w14:paraId="52710A1D">
      <w:pPr>
        <w:bidi w:val="0"/>
        <w:rPr>
          <w:rFonts w:hint="default"/>
          <w:lang w:val="en-US" w:eastAsia="zh-CN"/>
        </w:rPr>
      </w:pPr>
      <w:r>
        <w:rPr>
          <w:rFonts w:hint="eastAsia"/>
          <w:lang w:val="en-US" w:eastAsia="zh-CN"/>
        </w:rPr>
        <w:t>（1</w:t>
      </w:r>
      <w:r>
        <w:rPr>
          <w:rFonts w:hint="eastAsia"/>
          <w:lang w:eastAsia="zh-CN"/>
        </w:rPr>
        <w:t>）</w:t>
      </w:r>
      <w:r>
        <w:rPr>
          <w:rFonts w:hint="default"/>
        </w:rPr>
        <w:t>鱼山村</w:t>
      </w:r>
      <w:r>
        <w:rPr>
          <w:rFonts w:hint="eastAsia"/>
          <w:lang w:val="en-US" w:eastAsia="zh-CN"/>
        </w:rPr>
        <w:t>原有田埂不够高，被水冲毁，规划对损坏段进行修复并整体加高。</w:t>
      </w:r>
    </w:p>
    <w:p w14:paraId="115620AD">
      <w:pPr>
        <w:bidi w:val="0"/>
        <w:rPr>
          <w:rFonts w:hint="default" w:eastAsia="宋体"/>
          <w:lang w:val="en-US" w:eastAsia="zh-CN"/>
        </w:rPr>
      </w:pPr>
      <w:r>
        <w:rPr>
          <w:rFonts w:hint="eastAsia"/>
          <w:lang w:val="en-US" w:eastAsia="zh-CN"/>
        </w:rPr>
        <w:t>（2</w:t>
      </w:r>
      <w:r>
        <w:rPr>
          <w:rFonts w:hint="eastAsia"/>
          <w:lang w:eastAsia="zh-CN"/>
        </w:rPr>
        <w:t>）</w:t>
      </w:r>
      <w:r>
        <w:rPr>
          <w:rFonts w:hint="default"/>
        </w:rPr>
        <w:t>新柳村</w:t>
      </w:r>
      <w:r>
        <w:rPr>
          <w:rFonts w:hint="eastAsia"/>
          <w:lang w:val="en-US" w:eastAsia="zh-CN"/>
        </w:rPr>
        <w:t>U型槽破损，农户对U型槽认可度底且U型槽易损坏、难管护，本次规划拆除新建现浇砼渠</w:t>
      </w:r>
      <w:r>
        <w:rPr>
          <w:rFonts w:ascii="宋体" w:hAnsi="宋体" w:eastAsia="宋体" w:cs="宋体"/>
          <w:sz w:val="24"/>
          <w:szCs w:val="24"/>
        </w:rPr>
        <w:t>。</w:t>
      </w:r>
    </w:p>
    <w:p w14:paraId="4034A56F">
      <w:pPr>
        <w:bidi w:val="0"/>
        <w:rPr>
          <w:rFonts w:ascii="宋体" w:hAnsi="宋体" w:eastAsia="宋体" w:cs="宋体"/>
          <w:sz w:val="24"/>
          <w:szCs w:val="24"/>
        </w:rPr>
      </w:pPr>
      <w:r>
        <w:rPr>
          <w:rFonts w:hint="eastAsia"/>
          <w:lang w:val="en-US" w:eastAsia="zh-CN"/>
        </w:rPr>
        <w:t>（3</w:t>
      </w:r>
      <w:r>
        <w:rPr>
          <w:rFonts w:hint="eastAsia"/>
          <w:lang w:eastAsia="zh-CN"/>
        </w:rPr>
        <w:t>）</w:t>
      </w:r>
      <w:r>
        <w:rPr>
          <w:rFonts w:hint="eastAsia"/>
          <w:lang w:val="en-US" w:eastAsia="zh-CN"/>
        </w:rPr>
        <w:t>规划对关山村、丽阳村、鱼山村原有灌溉渠道进行衬砌，这部分渠道为土质渠道，为农业灌溉主要渠道</w:t>
      </w:r>
      <w:r>
        <w:rPr>
          <w:rFonts w:ascii="宋体" w:hAnsi="宋体" w:eastAsia="宋体" w:cs="宋体"/>
          <w:sz w:val="24"/>
          <w:szCs w:val="24"/>
        </w:rPr>
        <w:t>。</w:t>
      </w:r>
    </w:p>
    <w:p w14:paraId="659644C3">
      <w:pPr>
        <w:bidi w:val="0"/>
        <w:rPr>
          <w:rFonts w:hint="default"/>
          <w:lang w:val="en-US" w:eastAsia="zh-CN"/>
        </w:rPr>
      </w:pPr>
      <w:r>
        <w:rPr>
          <w:rFonts w:hint="eastAsia"/>
          <w:lang w:eastAsia="zh-CN"/>
        </w:rPr>
        <w:t>（</w:t>
      </w:r>
      <w:r>
        <w:rPr>
          <w:rFonts w:hint="eastAsia"/>
          <w:lang w:val="en-US" w:eastAsia="zh-CN"/>
        </w:rPr>
        <w:t>4</w:t>
      </w:r>
      <w:r>
        <w:rPr>
          <w:rFonts w:hint="eastAsia"/>
          <w:lang w:eastAsia="zh-CN"/>
        </w:rPr>
        <w:t>）联村村、凤岗村</w:t>
      </w:r>
      <w:r>
        <w:rPr>
          <w:rFonts w:hint="eastAsia"/>
          <w:lang w:val="en-US" w:eastAsia="zh-CN"/>
        </w:rPr>
        <w:t>道路损毁段进行改建，规划清除原道路表面杂物，外运土整平路面并铺设碎石。</w:t>
      </w:r>
    </w:p>
    <w:p w14:paraId="514BD243">
      <w:pPr>
        <w:pStyle w:val="3"/>
        <w:bidi w:val="0"/>
        <w:ind w:firstLine="480" w:firstLineChars="200"/>
        <w:rPr>
          <w:rFonts w:ascii="宋体" w:hAnsi="宋体" w:eastAsia="宋体" w:cs="宋体"/>
          <w:sz w:val="24"/>
          <w:szCs w:val="24"/>
        </w:rPr>
      </w:pPr>
      <w:bookmarkStart w:id="17" w:name="_Toc26265"/>
      <w:bookmarkStart w:id="18" w:name="_Toc13629"/>
      <w:r>
        <w:rPr>
          <w:rFonts w:ascii="宋体" w:hAnsi="宋体" w:eastAsia="宋体" w:cs="宋体"/>
          <w:sz w:val="24"/>
          <w:szCs w:val="24"/>
        </w:rPr>
        <w:t>项目设计工作组坚持开门设计、群众参与的工作原则，第一时间走访项目涉及村组，全面听取基层群众诉求；同步深入工程现场开展实地踏勘，对照昌江区高标准农田建设领导小组办公室（昌江区高标办）下发的管理文件开展技术分析与方案研讨。为保障设计透明度，工作组通过现场挂图公示的形式向村民直观解读工程布局、修复内容及实施标准，对于具备实操性的合理化建议全部融入最终设计文本，对受政策、技术、资金约束无法采纳的诉求，现场做好耐心细致的答疑解释，切实提升项目群众认可度与落地可行性。</w:t>
      </w:r>
    </w:p>
    <w:p w14:paraId="11A3286C">
      <w:pPr>
        <w:pStyle w:val="3"/>
        <w:bidi w:val="0"/>
        <w:rPr>
          <w:rFonts w:hint="default"/>
          <w:lang w:val="en-US" w:eastAsia="zh-CN"/>
        </w:rPr>
      </w:pPr>
      <w:r>
        <w:rPr>
          <w:rFonts w:hint="eastAsia"/>
          <w:lang w:val="en-US" w:eastAsia="zh-CN"/>
        </w:rPr>
        <w:t>1.</w:t>
      </w:r>
      <w:bookmarkEnd w:id="17"/>
      <w:r>
        <w:rPr>
          <w:rFonts w:hint="eastAsia"/>
          <w:lang w:val="en-US" w:eastAsia="zh-CN"/>
        </w:rPr>
        <w:t>8报告编制依据</w:t>
      </w:r>
      <w:bookmarkEnd w:id="18"/>
    </w:p>
    <w:p w14:paraId="7A3A0195">
      <w:pPr>
        <w:pStyle w:val="4"/>
        <w:bidi w:val="0"/>
        <w:rPr>
          <w:rFonts w:hint="eastAsia"/>
          <w:lang w:val="en-US" w:eastAsia="zh-CN"/>
        </w:rPr>
      </w:pPr>
      <w:r>
        <w:rPr>
          <w:rFonts w:hint="eastAsia"/>
          <w:lang w:val="en-US" w:eastAsia="zh-CN"/>
        </w:rPr>
        <w:t>1.8.1法律法规</w:t>
      </w:r>
    </w:p>
    <w:p w14:paraId="247E10B4">
      <w:pPr>
        <w:bidi w:val="0"/>
        <w:rPr>
          <w:rFonts w:hint="eastAsia"/>
          <w:lang w:val="en-US" w:eastAsia="zh-CN"/>
        </w:rPr>
      </w:pPr>
      <w:r>
        <w:rPr>
          <w:rFonts w:hint="eastAsia"/>
          <w:lang w:val="en-US" w:eastAsia="zh-CN"/>
        </w:rPr>
        <w:t>（1）《中华人民共和国土地管理法》（2019年8月26日修订）；</w:t>
      </w:r>
    </w:p>
    <w:p w14:paraId="5C84D6A2">
      <w:pPr>
        <w:bidi w:val="0"/>
        <w:rPr>
          <w:rFonts w:hint="eastAsia"/>
          <w:lang w:val="en-US" w:eastAsia="zh-CN"/>
        </w:rPr>
      </w:pPr>
      <w:r>
        <w:rPr>
          <w:rFonts w:hint="eastAsia"/>
          <w:lang w:val="en-US" w:eastAsia="zh-CN"/>
        </w:rPr>
        <w:t>（2）《中华人民共和国水土保持法》（2010年12月25日修订）；</w:t>
      </w:r>
    </w:p>
    <w:p w14:paraId="723DBCDE">
      <w:pPr>
        <w:bidi w:val="0"/>
        <w:rPr>
          <w:rFonts w:hint="eastAsia"/>
          <w:lang w:val="en-US" w:eastAsia="zh-CN"/>
        </w:rPr>
      </w:pPr>
      <w:r>
        <w:rPr>
          <w:rFonts w:hint="eastAsia"/>
          <w:lang w:val="en-US" w:eastAsia="zh-CN"/>
        </w:rPr>
        <w:t>（3）《中华人民共和国环境保护法》（2014年4月24日修订）；</w:t>
      </w:r>
    </w:p>
    <w:p w14:paraId="3D797AD9">
      <w:pPr>
        <w:bidi w:val="0"/>
        <w:rPr>
          <w:rFonts w:hint="eastAsia"/>
          <w:lang w:val="en-US" w:eastAsia="zh-CN"/>
        </w:rPr>
      </w:pPr>
      <w:r>
        <w:rPr>
          <w:rFonts w:hint="eastAsia"/>
          <w:lang w:val="en-US" w:eastAsia="zh-CN"/>
        </w:rPr>
        <w:t>（4）《中华人民共和国土地管理法实施条例》（2021年7月2日修订）；</w:t>
      </w:r>
    </w:p>
    <w:p w14:paraId="281F5BE0">
      <w:pPr>
        <w:bidi w:val="0"/>
        <w:rPr>
          <w:rFonts w:hint="eastAsia"/>
          <w:lang w:val="en-US" w:eastAsia="zh-CN"/>
        </w:rPr>
      </w:pPr>
      <w:r>
        <w:rPr>
          <w:rFonts w:hint="eastAsia"/>
          <w:lang w:val="en-US" w:eastAsia="zh-CN"/>
        </w:rPr>
        <w:t>（5）《基本农田保护条例》（国务院令第257号）；</w:t>
      </w:r>
    </w:p>
    <w:p w14:paraId="26E10725">
      <w:pPr>
        <w:bidi w:val="0"/>
        <w:rPr>
          <w:rFonts w:hint="eastAsia"/>
          <w:lang w:val="en-US" w:eastAsia="zh-CN"/>
        </w:rPr>
      </w:pPr>
      <w:r>
        <w:rPr>
          <w:rFonts w:hint="eastAsia"/>
          <w:lang w:val="en-US" w:eastAsia="zh-CN"/>
        </w:rPr>
        <w:t>（6）《农田水利条例》（国务院令第669号）；</w:t>
      </w:r>
    </w:p>
    <w:p w14:paraId="41E33881">
      <w:pPr>
        <w:bidi w:val="0"/>
        <w:rPr>
          <w:rFonts w:hint="eastAsia"/>
          <w:lang w:val="en-US" w:eastAsia="zh-CN"/>
        </w:rPr>
      </w:pPr>
      <w:r>
        <w:rPr>
          <w:rFonts w:hint="eastAsia"/>
          <w:lang w:val="en-US" w:eastAsia="zh-CN"/>
        </w:rPr>
        <w:t>（7）《节约集约利用土地规定》（国土资源部令第61号）。</w:t>
      </w:r>
    </w:p>
    <w:p w14:paraId="70B0CC1A">
      <w:pPr>
        <w:pStyle w:val="4"/>
        <w:bidi w:val="0"/>
        <w:rPr>
          <w:rFonts w:hint="eastAsia"/>
          <w:lang w:val="en-US" w:eastAsia="zh-CN"/>
        </w:rPr>
      </w:pPr>
      <w:r>
        <w:rPr>
          <w:rFonts w:hint="eastAsia"/>
          <w:lang w:val="en-US" w:eastAsia="zh-CN"/>
        </w:rPr>
        <w:t>1.8.2相关政策</w:t>
      </w:r>
    </w:p>
    <w:p w14:paraId="4F9E55C9">
      <w:pPr>
        <w:bidi w:val="0"/>
        <w:rPr>
          <w:rFonts w:hint="eastAsia"/>
          <w:lang w:val="en-US" w:eastAsia="zh-CN"/>
        </w:rPr>
      </w:pPr>
      <w:r>
        <w:rPr>
          <w:rFonts w:hint="eastAsia"/>
          <w:lang w:val="en-US" w:eastAsia="zh-CN"/>
        </w:rPr>
        <w:t>（1）《中共中央 国务院关于做好2022年全面推进乡村振兴重点工作的意见》（中发〔2022〕1号）；</w:t>
      </w:r>
    </w:p>
    <w:p w14:paraId="02817213">
      <w:pPr>
        <w:bidi w:val="0"/>
        <w:rPr>
          <w:rFonts w:hint="eastAsia"/>
          <w:lang w:val="en-US" w:eastAsia="zh-CN"/>
        </w:rPr>
      </w:pPr>
      <w:r>
        <w:rPr>
          <w:rFonts w:hint="eastAsia"/>
          <w:lang w:val="en-US" w:eastAsia="zh-CN"/>
        </w:rPr>
        <w:t>（2）国务院办公厅发布《关于切实加强高标准农田建设提升国家粮食安全保障能力的意见》（国办发〔2019〕50号）；</w:t>
      </w:r>
    </w:p>
    <w:p w14:paraId="2CFDC03E">
      <w:pPr>
        <w:bidi w:val="0"/>
        <w:rPr>
          <w:rFonts w:hint="eastAsia"/>
          <w:lang w:val="en-US" w:eastAsia="zh-CN"/>
        </w:rPr>
      </w:pPr>
      <w:r>
        <w:rPr>
          <w:rFonts w:hint="eastAsia"/>
          <w:lang w:val="en-US" w:eastAsia="zh-CN"/>
        </w:rPr>
        <w:t>（3）《农业农村部关于印发＜高标准农田建设质量管理办法（试行）＞的通知》（农建发〔2021〕1号）；</w:t>
      </w:r>
    </w:p>
    <w:p w14:paraId="5A20B694">
      <w:pPr>
        <w:bidi w:val="0"/>
        <w:rPr>
          <w:rFonts w:hint="eastAsia"/>
          <w:lang w:val="en-US" w:eastAsia="zh-CN"/>
        </w:rPr>
      </w:pPr>
      <w:r>
        <w:rPr>
          <w:rFonts w:hint="eastAsia"/>
          <w:lang w:val="en-US" w:eastAsia="zh-CN"/>
        </w:rPr>
        <w:t>（4）《农业农村部关于印发＜全国高标准农田建设规划（2021—2030年）＞的通知》（农建发〔2021〕6号）；</w:t>
      </w:r>
    </w:p>
    <w:p w14:paraId="0DBDD361">
      <w:pPr>
        <w:bidi w:val="0"/>
        <w:rPr>
          <w:rFonts w:hint="eastAsia"/>
          <w:lang w:val="en-US" w:eastAsia="zh-CN"/>
        </w:rPr>
      </w:pPr>
      <w:r>
        <w:rPr>
          <w:rFonts w:hint="eastAsia"/>
          <w:lang w:val="en-US" w:eastAsia="zh-CN"/>
        </w:rPr>
        <w:t>（5）《江西省农业农村厅江西省财政厅江西省自然资源厅关于切实做好高标准农田建设有关工作的通知》（赣财农〔2023〕6号）；</w:t>
      </w:r>
    </w:p>
    <w:p w14:paraId="528C0FC7">
      <w:pPr>
        <w:bidi w:val="0"/>
        <w:rPr>
          <w:rFonts w:hint="eastAsia"/>
          <w:lang w:val="en-US" w:eastAsia="zh-CN"/>
        </w:rPr>
      </w:pPr>
      <w:r>
        <w:rPr>
          <w:rFonts w:hint="eastAsia"/>
          <w:lang w:val="en-US" w:eastAsia="zh-CN"/>
        </w:rPr>
        <w:t>（6）《江西省人民政府关于江西省高标准农田建设规划（2021—2030年）的批复》（赣府字〔2022〕2号）；</w:t>
      </w:r>
    </w:p>
    <w:p w14:paraId="54AAC68E">
      <w:pPr>
        <w:bidi w:val="0"/>
        <w:rPr>
          <w:rFonts w:hint="eastAsia"/>
          <w:lang w:val="en-US" w:eastAsia="zh-CN"/>
        </w:rPr>
      </w:pPr>
      <w:r>
        <w:rPr>
          <w:rFonts w:hint="eastAsia"/>
          <w:lang w:val="en-US" w:eastAsia="zh-CN"/>
        </w:rPr>
        <w:t>（7）《江西省财政厅江西省农业农村厅关于印发江西省高标准农田建设资金管理办法的通知》（赣财农〔2022〕10号）；</w:t>
      </w:r>
    </w:p>
    <w:p w14:paraId="6BBF0ADD">
      <w:pPr>
        <w:bidi w:val="0"/>
        <w:rPr>
          <w:rFonts w:hint="eastAsia"/>
          <w:lang w:val="en-US" w:eastAsia="zh-CN"/>
        </w:rPr>
      </w:pPr>
      <w:r>
        <w:rPr>
          <w:rFonts w:hint="eastAsia"/>
          <w:lang w:val="en-US" w:eastAsia="zh-CN"/>
        </w:rPr>
        <w:t>（8）《江西省农业农村厅办公室关于切实加强高标准农田建设项目管理进一步提升建设成效的实施意见》（赣农厅办字〔2022〕15号）；</w:t>
      </w:r>
    </w:p>
    <w:p w14:paraId="6D9EB017">
      <w:pPr>
        <w:bidi w:val="0"/>
        <w:rPr>
          <w:rFonts w:hint="eastAsia"/>
          <w:lang w:val="en-US" w:eastAsia="zh-CN"/>
        </w:rPr>
      </w:pPr>
      <w:r>
        <w:rPr>
          <w:rFonts w:hint="eastAsia"/>
          <w:lang w:val="en-US" w:eastAsia="zh-CN"/>
        </w:rPr>
        <w:t>（9）《江西省农业农村厅办公室关于认真做好高标准农田国家统一标识规范使用工作的通知》（赣农厅办字［2021]5号）；</w:t>
      </w:r>
    </w:p>
    <w:p w14:paraId="556B215F">
      <w:pPr>
        <w:bidi w:val="0"/>
        <w:rPr>
          <w:rFonts w:hint="eastAsia"/>
          <w:lang w:val="en-US" w:eastAsia="zh-CN"/>
        </w:rPr>
      </w:pPr>
      <w:r>
        <w:rPr>
          <w:rFonts w:hint="eastAsia"/>
          <w:lang w:val="en-US" w:eastAsia="zh-CN"/>
        </w:rPr>
        <w:t>（10）《关于印发＜江西省高标准农田建设项目初步设计指导意见＞＜江西省高标准农田建设项目档案管理办法＞的通知》（赣高标准农田办字［2021]4号）；</w:t>
      </w:r>
    </w:p>
    <w:p w14:paraId="461788B7">
      <w:pPr>
        <w:bidi w:val="0"/>
        <w:rPr>
          <w:rFonts w:hint="eastAsia"/>
          <w:lang w:val="en-US" w:eastAsia="zh-CN"/>
        </w:rPr>
      </w:pPr>
      <w:r>
        <w:rPr>
          <w:rFonts w:hint="eastAsia"/>
          <w:lang w:val="en-US" w:eastAsia="zh-CN"/>
        </w:rPr>
        <w:t>（11）《关于印发＜江西省统筹整合资金推进高标准农田建设项目管理办法（修订）＞＜江西省高标准农田建设规范（修订）＞的通知》（赣高标准农田组字［2021]3号）。</w:t>
      </w:r>
    </w:p>
    <w:p w14:paraId="13EDD663">
      <w:pPr>
        <w:bidi w:val="0"/>
        <w:rPr>
          <w:rFonts w:hint="eastAsia"/>
          <w:lang w:val="en-US" w:eastAsia="zh-CN"/>
        </w:rPr>
      </w:pPr>
      <w:r>
        <w:rPr>
          <w:rFonts w:hint="eastAsia"/>
          <w:lang w:val="en-US" w:eastAsia="zh-CN"/>
        </w:rPr>
        <w:t>（12）《江西省农业农村厅关于印发〈江西省高标准农田工程设施管护细则》的通知》（赣农规［2025]7号）；</w:t>
      </w:r>
    </w:p>
    <w:p w14:paraId="127F57FB">
      <w:pPr>
        <w:rPr>
          <w:rFonts w:hint="eastAsia"/>
          <w:lang w:val="en-US" w:eastAsia="zh-CN"/>
        </w:rPr>
      </w:pPr>
      <w:r>
        <w:rPr>
          <w:rFonts w:hint="eastAsia"/>
          <w:lang w:val="en-US" w:eastAsia="zh-CN"/>
        </w:rPr>
        <w:t>（13）</w:t>
      </w:r>
      <w:r>
        <w:rPr>
          <w:rFonts w:hint="default"/>
          <w:lang w:val="en-US" w:eastAsia="zh-CN"/>
        </w:rPr>
        <w:t>《关于严格耕地用途管制的意见》（赣自然资字【2022】21号）</w:t>
      </w:r>
      <w:r>
        <w:rPr>
          <w:rFonts w:hint="eastAsia"/>
          <w:lang w:val="en-US" w:eastAsia="zh-CN"/>
        </w:rPr>
        <w:t>；</w:t>
      </w:r>
    </w:p>
    <w:p w14:paraId="5C86573B">
      <w:pPr>
        <w:bidi w:val="0"/>
        <w:rPr>
          <w:rFonts w:hint="eastAsia"/>
          <w:lang w:val="en-US" w:eastAsia="zh-CN"/>
        </w:rPr>
      </w:pPr>
      <w:r>
        <w:rPr>
          <w:rFonts w:hint="eastAsia"/>
          <w:lang w:val="en-US" w:eastAsia="zh-CN"/>
        </w:rPr>
        <w:t>（14）《江西省高标准农田整治提升行动方案》（赣府厅发</w:t>
      </w:r>
      <w:r>
        <w:rPr>
          <w:rFonts w:hint="default"/>
          <w:lang w:val="en-US" w:eastAsia="zh-CN"/>
        </w:rPr>
        <w:t>【202</w:t>
      </w:r>
      <w:r>
        <w:rPr>
          <w:rFonts w:hint="eastAsia"/>
          <w:lang w:val="en-US" w:eastAsia="zh-CN"/>
        </w:rPr>
        <w:t>6</w:t>
      </w:r>
      <w:r>
        <w:rPr>
          <w:rFonts w:hint="default"/>
          <w:lang w:val="en-US" w:eastAsia="zh-CN"/>
        </w:rPr>
        <w:t>】</w:t>
      </w:r>
      <w:r>
        <w:rPr>
          <w:rFonts w:hint="eastAsia"/>
          <w:lang w:val="en-US" w:eastAsia="zh-CN"/>
        </w:rPr>
        <w:t>6</w:t>
      </w:r>
      <w:r>
        <w:rPr>
          <w:rFonts w:hint="default"/>
          <w:lang w:val="en-US" w:eastAsia="zh-CN"/>
        </w:rPr>
        <w:t>号</w:t>
      </w:r>
      <w:r>
        <w:rPr>
          <w:rFonts w:hint="eastAsia"/>
          <w:lang w:val="en-US" w:eastAsia="zh-CN"/>
        </w:rPr>
        <w:t>）。</w:t>
      </w:r>
    </w:p>
    <w:p w14:paraId="7FC615FF">
      <w:pPr>
        <w:pStyle w:val="4"/>
        <w:bidi w:val="0"/>
        <w:rPr>
          <w:rFonts w:hint="eastAsia"/>
          <w:lang w:val="en-US" w:eastAsia="zh-CN"/>
        </w:rPr>
      </w:pPr>
      <w:r>
        <w:rPr>
          <w:rFonts w:hint="eastAsia"/>
          <w:lang w:val="en-US" w:eastAsia="zh-CN"/>
        </w:rPr>
        <w:t>1.8.3技术标准</w:t>
      </w:r>
    </w:p>
    <w:p w14:paraId="1C7C2517">
      <w:pPr>
        <w:bidi w:val="0"/>
        <w:rPr>
          <w:rFonts w:hint="eastAsia"/>
          <w:lang w:val="en-US" w:eastAsia="zh-CN"/>
        </w:rPr>
      </w:pPr>
      <w:r>
        <w:rPr>
          <w:rFonts w:hint="eastAsia"/>
          <w:lang w:val="en-US" w:eastAsia="zh-CN"/>
        </w:rPr>
        <w:t>（1）《高标准农田建设通则》（GB/T30600-2022）；</w:t>
      </w:r>
    </w:p>
    <w:p w14:paraId="3DEBCAB7">
      <w:pPr>
        <w:bidi w:val="0"/>
        <w:rPr>
          <w:rFonts w:hint="eastAsia"/>
          <w:lang w:val="en-US" w:eastAsia="zh-CN"/>
        </w:rPr>
      </w:pPr>
      <w:r>
        <w:rPr>
          <w:rFonts w:hint="eastAsia"/>
          <w:lang w:val="en-US" w:eastAsia="zh-CN"/>
        </w:rPr>
        <w:t>（2）《高标准农田建设标准》（NY/T2148-2012）；</w:t>
      </w:r>
    </w:p>
    <w:p w14:paraId="0922A9B7">
      <w:pPr>
        <w:bidi w:val="0"/>
        <w:rPr>
          <w:rFonts w:hint="eastAsia"/>
          <w:lang w:val="en-US" w:eastAsia="zh-CN"/>
        </w:rPr>
      </w:pPr>
      <w:r>
        <w:rPr>
          <w:rFonts w:hint="eastAsia"/>
          <w:lang w:val="en-US" w:eastAsia="zh-CN"/>
        </w:rPr>
        <w:t>（3）《高标准农田建设评价规范》（GB/T33130-2016）；</w:t>
      </w:r>
    </w:p>
    <w:p w14:paraId="1D2CC9DA">
      <w:pPr>
        <w:bidi w:val="0"/>
        <w:rPr>
          <w:rFonts w:hint="eastAsia"/>
          <w:lang w:val="en-US" w:eastAsia="zh-CN"/>
        </w:rPr>
      </w:pPr>
      <w:r>
        <w:rPr>
          <w:rFonts w:hint="eastAsia"/>
          <w:lang w:val="en-US" w:eastAsia="zh-CN"/>
        </w:rPr>
        <w:t>（4）《灌溉与排水工程设计标准》（GB50288-2018）；</w:t>
      </w:r>
    </w:p>
    <w:p w14:paraId="324BB385">
      <w:pPr>
        <w:bidi w:val="0"/>
        <w:rPr>
          <w:rFonts w:hint="eastAsia"/>
          <w:lang w:val="en-US" w:eastAsia="zh-CN"/>
        </w:rPr>
      </w:pPr>
      <w:r>
        <w:rPr>
          <w:rFonts w:hint="eastAsia"/>
          <w:lang w:val="en-US" w:eastAsia="zh-CN"/>
        </w:rPr>
        <w:t>（5）《灌溉与排水渠系建筑物设计规范》（SL482-2011）；</w:t>
      </w:r>
    </w:p>
    <w:p w14:paraId="1473F500">
      <w:pPr>
        <w:bidi w:val="0"/>
        <w:rPr>
          <w:rFonts w:hint="eastAsia"/>
          <w:lang w:val="en-US" w:eastAsia="zh-CN"/>
        </w:rPr>
      </w:pPr>
      <w:r>
        <w:rPr>
          <w:rFonts w:hint="eastAsia"/>
          <w:lang w:val="en-US" w:eastAsia="zh-CN"/>
        </w:rPr>
        <w:t>（6）《农田排水工程技术规范》（SL/T4-2020）；</w:t>
      </w:r>
    </w:p>
    <w:p w14:paraId="1628F2FC">
      <w:pPr>
        <w:bidi w:val="0"/>
        <w:rPr>
          <w:rFonts w:hint="eastAsia"/>
          <w:lang w:val="en-US" w:eastAsia="zh-CN"/>
        </w:rPr>
      </w:pPr>
      <w:r>
        <w:rPr>
          <w:rFonts w:hint="eastAsia"/>
          <w:lang w:val="en-US" w:eastAsia="zh-CN"/>
        </w:rPr>
        <w:t>（7）《水工建筑物荷载设计规范》（SL744-2016）；</w:t>
      </w:r>
    </w:p>
    <w:p w14:paraId="635CB74E">
      <w:pPr>
        <w:bidi w:val="0"/>
        <w:rPr>
          <w:rFonts w:hint="eastAsia"/>
          <w:lang w:val="en-US" w:eastAsia="zh-CN"/>
        </w:rPr>
      </w:pPr>
      <w:r>
        <w:rPr>
          <w:rFonts w:hint="eastAsia"/>
          <w:lang w:val="en-US" w:eastAsia="zh-CN"/>
        </w:rPr>
        <w:t>（8）《防洪标准》（GB50201-2014）；</w:t>
      </w:r>
    </w:p>
    <w:p w14:paraId="391BDF6B">
      <w:pPr>
        <w:bidi w:val="0"/>
        <w:rPr>
          <w:rFonts w:hint="eastAsia"/>
          <w:lang w:val="en-US" w:eastAsia="zh-CN"/>
        </w:rPr>
      </w:pPr>
      <w:r>
        <w:rPr>
          <w:rFonts w:hint="eastAsia"/>
          <w:lang w:val="en-US" w:eastAsia="zh-CN"/>
        </w:rPr>
        <w:t>（9）《公路桥涵设计通用规范》（JTGD60-2015）；</w:t>
      </w:r>
    </w:p>
    <w:p w14:paraId="7EFB9ACD">
      <w:pPr>
        <w:bidi w:val="0"/>
        <w:rPr>
          <w:rFonts w:hint="eastAsia"/>
          <w:lang w:val="en-US" w:eastAsia="zh-CN"/>
        </w:rPr>
      </w:pPr>
      <w:r>
        <w:rPr>
          <w:rFonts w:hint="eastAsia"/>
          <w:lang w:val="en-US" w:eastAsia="zh-CN"/>
        </w:rPr>
        <w:t>（11）《泵站设计规范》（GB50265-2010）；</w:t>
      </w:r>
    </w:p>
    <w:p w14:paraId="6F2DC784">
      <w:pPr>
        <w:bidi w:val="0"/>
        <w:rPr>
          <w:rFonts w:hint="eastAsia"/>
          <w:lang w:val="en-US" w:eastAsia="zh-CN"/>
        </w:rPr>
      </w:pPr>
      <w:r>
        <w:rPr>
          <w:rFonts w:hint="eastAsia"/>
          <w:lang w:val="en-US" w:eastAsia="zh-CN"/>
        </w:rPr>
        <w:t>（12）《节水灌溉工程技术规范》（GB/T50363-2018）;</w:t>
      </w:r>
    </w:p>
    <w:p w14:paraId="40012B9C">
      <w:pPr>
        <w:bidi w:val="0"/>
        <w:rPr>
          <w:rFonts w:hint="eastAsia"/>
          <w:lang w:val="en-US" w:eastAsia="zh-CN"/>
        </w:rPr>
      </w:pPr>
      <w:r>
        <w:rPr>
          <w:rFonts w:hint="eastAsia"/>
          <w:lang w:val="en-US" w:eastAsia="zh-CN"/>
        </w:rPr>
        <w:t>（13）《渠道防渗衬砌工程技术标准》（GB/T50600-2020）;</w:t>
      </w:r>
    </w:p>
    <w:p w14:paraId="33D81928">
      <w:pPr>
        <w:bidi w:val="0"/>
        <w:rPr>
          <w:rFonts w:hint="eastAsia"/>
          <w:lang w:val="en-US" w:eastAsia="zh-CN"/>
        </w:rPr>
      </w:pPr>
      <w:r>
        <w:rPr>
          <w:rFonts w:hint="eastAsia"/>
          <w:lang w:val="en-US" w:eastAsia="zh-CN"/>
        </w:rPr>
        <w:t>（14）《水利水电工程等级划分及洪水标准》（SL252-2017）;</w:t>
      </w:r>
    </w:p>
    <w:p w14:paraId="6D286C25">
      <w:pPr>
        <w:bidi w:val="0"/>
        <w:rPr>
          <w:rFonts w:hint="eastAsia"/>
          <w:lang w:val="en-US" w:eastAsia="zh-CN"/>
        </w:rPr>
      </w:pPr>
      <w:r>
        <w:rPr>
          <w:rFonts w:hint="eastAsia"/>
          <w:lang w:val="en-US" w:eastAsia="zh-CN"/>
        </w:rPr>
        <w:t>（15）《高标准农田质量管理办法（试行）》；</w:t>
      </w:r>
    </w:p>
    <w:p w14:paraId="7C85B5EF">
      <w:pPr>
        <w:bidi w:val="0"/>
        <w:rPr>
          <w:rFonts w:hint="eastAsia"/>
          <w:lang w:val="en-US" w:eastAsia="zh-CN"/>
        </w:rPr>
      </w:pPr>
      <w:r>
        <w:rPr>
          <w:rFonts w:hint="eastAsia"/>
          <w:lang w:val="en-US" w:eastAsia="zh-CN"/>
        </w:rPr>
        <w:t>（16）《江西省小型农田灌溉渠道及建筑物设计实用手册（试行）》；</w:t>
      </w:r>
    </w:p>
    <w:p w14:paraId="2496300D">
      <w:pPr>
        <w:bidi w:val="0"/>
        <w:rPr>
          <w:rFonts w:hint="eastAsia"/>
          <w:lang w:val="en-US" w:eastAsia="zh-CN"/>
        </w:rPr>
      </w:pPr>
      <w:r>
        <w:rPr>
          <w:rFonts w:hint="eastAsia"/>
          <w:lang w:val="en-US" w:eastAsia="zh-CN"/>
        </w:rPr>
        <w:t>（17）《江西省农业用水定额》（DB36/T619-2024）；</w:t>
      </w:r>
    </w:p>
    <w:p w14:paraId="3DB0D2B1">
      <w:pPr>
        <w:bidi w:val="0"/>
        <w:rPr>
          <w:rFonts w:hint="eastAsia"/>
          <w:lang w:val="en-US" w:eastAsia="zh-CN"/>
        </w:rPr>
      </w:pPr>
      <w:r>
        <w:rPr>
          <w:rFonts w:hint="eastAsia"/>
          <w:lang w:val="en-US" w:eastAsia="zh-CN"/>
        </w:rPr>
        <w:t>（18）《江西省暴雨洪水查算手册》（2010年）；</w:t>
      </w:r>
    </w:p>
    <w:p w14:paraId="667DB6D0">
      <w:pPr>
        <w:bidi w:val="0"/>
        <w:rPr>
          <w:rFonts w:hint="eastAsia"/>
          <w:lang w:val="en-US" w:eastAsia="zh-CN"/>
        </w:rPr>
      </w:pPr>
      <w:r>
        <w:rPr>
          <w:rFonts w:hint="eastAsia"/>
          <w:lang w:val="en-US" w:eastAsia="zh-CN"/>
        </w:rPr>
        <w:t>（19）</w:t>
      </w:r>
      <w:r>
        <w:rPr>
          <w:rFonts w:hint="default"/>
          <w:lang w:val="en-US" w:eastAsia="zh-CN"/>
        </w:rPr>
        <w:t>《土地利用现状分类》（GB/T 21010-2017）</w:t>
      </w:r>
      <w:r>
        <w:rPr>
          <w:rFonts w:hint="eastAsia"/>
          <w:lang w:val="en-US" w:eastAsia="zh-CN"/>
        </w:rPr>
        <w:t>；</w:t>
      </w:r>
    </w:p>
    <w:p w14:paraId="028C647F">
      <w:pPr>
        <w:bidi w:val="0"/>
        <w:rPr>
          <w:rFonts w:hint="eastAsia"/>
          <w:lang w:val="en-US" w:eastAsia="zh-CN"/>
        </w:rPr>
      </w:pPr>
      <w:r>
        <w:rPr>
          <w:rFonts w:hint="eastAsia"/>
          <w:lang w:val="en-US" w:eastAsia="zh-CN"/>
        </w:rPr>
        <w:t>（20）高标准农田建设项目第1部分:初步设计报告编制规程（DB36/T2180.1—2025）；</w:t>
      </w:r>
    </w:p>
    <w:p w14:paraId="646D5A99">
      <w:pPr>
        <w:bidi w:val="0"/>
        <w:rPr>
          <w:rFonts w:hint="eastAsia"/>
          <w:lang w:val="en-US" w:eastAsia="zh-CN"/>
        </w:rPr>
      </w:pPr>
      <w:r>
        <w:rPr>
          <w:rFonts w:hint="eastAsia"/>
          <w:lang w:val="en-US" w:eastAsia="zh-CN"/>
        </w:rPr>
        <w:t>（21）高标准农田建设项目第2部分:工程概算编制规程（DB36/T2180.2—2025）；</w:t>
      </w:r>
    </w:p>
    <w:p w14:paraId="7609295B">
      <w:pPr>
        <w:bidi w:val="0"/>
        <w:rPr>
          <w:rFonts w:hint="eastAsia"/>
          <w:lang w:val="en-US" w:eastAsia="zh-CN"/>
        </w:rPr>
      </w:pPr>
      <w:r>
        <w:rPr>
          <w:rFonts w:hint="eastAsia"/>
          <w:lang w:val="en-US" w:eastAsia="zh-CN"/>
        </w:rPr>
        <w:t>（22）高标准农田建设项目第3部分:预算定额(核心定额本)（DB36/T2180.3—2025）；</w:t>
      </w:r>
    </w:p>
    <w:p w14:paraId="6E8BC251">
      <w:pPr>
        <w:bidi w:val="0"/>
        <w:rPr>
          <w:rFonts w:hint="eastAsia"/>
          <w:lang w:val="en-US" w:eastAsia="zh-CN"/>
        </w:rPr>
      </w:pPr>
      <w:r>
        <w:rPr>
          <w:rFonts w:hint="eastAsia"/>
          <w:lang w:val="en-US" w:eastAsia="zh-CN"/>
        </w:rPr>
        <w:t>（23）高标准农田建设项目第4部分:施工机械台时费定额（DB36/T2180.4—2025）。</w:t>
      </w:r>
    </w:p>
    <w:p w14:paraId="6D0D6709">
      <w:pPr>
        <w:pStyle w:val="4"/>
        <w:bidi w:val="0"/>
        <w:rPr>
          <w:rFonts w:hint="default" w:ascii="Times New Roman" w:hAnsi="Times New Roman"/>
          <w:lang w:val="en-US" w:eastAsia="zh-CN"/>
        </w:rPr>
      </w:pPr>
      <w:r>
        <w:rPr>
          <w:rFonts w:hint="eastAsia" w:ascii="Times New Roman" w:hAnsi="Times New Roman"/>
          <w:lang w:val="en-US" w:eastAsia="zh-CN"/>
        </w:rPr>
        <w:t>1.8.4</w:t>
      </w:r>
      <w:r>
        <w:rPr>
          <w:rFonts w:hint="default" w:ascii="Times New Roman" w:hAnsi="Times New Roman"/>
          <w:lang w:val="en-US" w:eastAsia="zh-CN"/>
        </w:rPr>
        <w:t>其他资料、文件</w:t>
      </w:r>
    </w:p>
    <w:p w14:paraId="56019598">
      <w:pPr>
        <w:bidi w:val="0"/>
        <w:rPr>
          <w:rFonts w:hint="default"/>
          <w:lang w:val="en-US" w:eastAsia="zh-CN"/>
        </w:rPr>
      </w:pPr>
      <w:r>
        <w:rPr>
          <w:rFonts w:hint="eastAsia"/>
          <w:lang w:val="en-US" w:eastAsia="zh-CN"/>
        </w:rPr>
        <w:t>（1</w:t>
      </w:r>
      <w:r>
        <w:rPr>
          <w:rFonts w:hint="default"/>
          <w:lang w:val="en-US" w:eastAsia="zh-CN"/>
        </w:rPr>
        <w:t>）《</w:t>
      </w:r>
      <w:r>
        <w:rPr>
          <w:rFonts w:hint="eastAsia"/>
          <w:lang w:val="en-US" w:eastAsia="zh-CN"/>
        </w:rPr>
        <w:t>昌江区</w:t>
      </w:r>
      <w:r>
        <w:rPr>
          <w:rFonts w:hint="default"/>
          <w:lang w:val="en-US" w:eastAsia="zh-CN"/>
        </w:rPr>
        <w:t>统计年鉴》（202</w:t>
      </w:r>
      <w:r>
        <w:rPr>
          <w:rFonts w:hint="eastAsia"/>
          <w:lang w:val="en-US" w:eastAsia="zh-CN"/>
        </w:rPr>
        <w:t>5</w:t>
      </w:r>
      <w:r>
        <w:rPr>
          <w:rFonts w:hint="default"/>
          <w:lang w:val="en-US" w:eastAsia="zh-CN"/>
        </w:rPr>
        <w:t>年）；</w:t>
      </w:r>
    </w:p>
    <w:p w14:paraId="2F78E4A9">
      <w:pPr>
        <w:bidi w:val="0"/>
        <w:rPr>
          <w:rFonts w:hint="default"/>
          <w:lang w:val="en-US" w:eastAsia="zh-CN"/>
        </w:rPr>
      </w:pPr>
      <w:r>
        <w:rPr>
          <w:rFonts w:hint="eastAsia"/>
          <w:lang w:val="en-US" w:eastAsia="zh-CN"/>
        </w:rPr>
        <w:t>（2</w:t>
      </w:r>
      <w:r>
        <w:rPr>
          <w:rFonts w:hint="default"/>
          <w:lang w:val="en-US" w:eastAsia="zh-CN"/>
        </w:rPr>
        <w:t>）</w:t>
      </w:r>
      <w:r>
        <w:rPr>
          <w:rFonts w:hint="eastAsia"/>
          <w:lang w:val="en-US" w:eastAsia="zh-CN"/>
        </w:rPr>
        <w:t>昌江区</w:t>
      </w:r>
      <w:r>
        <w:rPr>
          <w:rFonts w:hint="default"/>
          <w:lang w:val="en-US" w:eastAsia="zh-CN"/>
        </w:rPr>
        <w:t>第三次国土调查数据成果及变更数据；</w:t>
      </w:r>
    </w:p>
    <w:p w14:paraId="31B97E07">
      <w:pPr>
        <w:bidi w:val="0"/>
        <w:rPr>
          <w:rFonts w:hint="default"/>
          <w:lang w:val="en-US" w:eastAsia="zh-CN"/>
        </w:rPr>
      </w:pPr>
      <w:r>
        <w:rPr>
          <w:rFonts w:hint="eastAsia"/>
          <w:lang w:val="en-US" w:eastAsia="zh-CN"/>
        </w:rPr>
        <w:t>（3</w:t>
      </w:r>
      <w:r>
        <w:rPr>
          <w:rFonts w:hint="default"/>
          <w:lang w:val="en-US" w:eastAsia="zh-CN"/>
        </w:rPr>
        <w:t>）</w:t>
      </w:r>
      <w:r>
        <w:rPr>
          <w:rFonts w:hint="eastAsia"/>
          <w:lang w:val="en-US" w:eastAsia="zh-CN"/>
        </w:rPr>
        <w:t>昌江区</w:t>
      </w:r>
      <w:r>
        <w:rPr>
          <w:rFonts w:hint="default"/>
          <w:lang w:val="en-US" w:eastAsia="zh-CN"/>
        </w:rPr>
        <w:t>耕地质量等别年度更新成果；</w:t>
      </w:r>
    </w:p>
    <w:p w14:paraId="50882BB5">
      <w:pPr>
        <w:bidi w:val="0"/>
        <w:rPr>
          <w:rFonts w:hint="default"/>
          <w:lang w:val="en-US" w:eastAsia="zh-CN"/>
        </w:rPr>
      </w:pPr>
      <w:r>
        <w:rPr>
          <w:rFonts w:hint="eastAsia"/>
          <w:lang w:val="en-US" w:eastAsia="zh-CN"/>
        </w:rPr>
        <w:t>（4</w:t>
      </w:r>
      <w:r>
        <w:rPr>
          <w:rFonts w:hint="default"/>
          <w:lang w:val="en-US" w:eastAsia="zh-CN"/>
        </w:rPr>
        <w:t>）</w:t>
      </w:r>
      <w:r>
        <w:rPr>
          <w:rFonts w:hint="eastAsia"/>
          <w:lang w:val="en-US" w:eastAsia="zh-CN"/>
        </w:rPr>
        <w:t>昌江区</w:t>
      </w:r>
      <w:r>
        <w:rPr>
          <w:rFonts w:hint="default"/>
          <w:lang w:val="en-US" w:eastAsia="zh-CN"/>
        </w:rPr>
        <w:t>农用地土壤污染状况详查成果；</w:t>
      </w:r>
    </w:p>
    <w:p w14:paraId="45E73B6B">
      <w:pPr>
        <w:bidi w:val="0"/>
        <w:rPr>
          <w:rFonts w:hint="default"/>
          <w:lang w:val="en-US" w:eastAsia="zh-CN"/>
        </w:rPr>
      </w:pPr>
      <w:r>
        <w:rPr>
          <w:rFonts w:hint="eastAsia"/>
          <w:lang w:val="en-US" w:eastAsia="zh-CN"/>
        </w:rPr>
        <w:t>（5</w:t>
      </w:r>
      <w:r>
        <w:rPr>
          <w:rFonts w:hint="default"/>
          <w:lang w:val="en-US" w:eastAsia="zh-CN"/>
        </w:rPr>
        <w:t>）</w:t>
      </w:r>
      <w:r>
        <w:rPr>
          <w:rFonts w:hint="eastAsia"/>
          <w:lang w:val="en-US" w:eastAsia="zh-CN"/>
        </w:rPr>
        <w:t>昌江区</w:t>
      </w:r>
      <w:r>
        <w:rPr>
          <w:rFonts w:hint="default"/>
          <w:lang w:val="en-US" w:eastAsia="zh-CN"/>
        </w:rPr>
        <w:t>永久基本农田划定成果；</w:t>
      </w:r>
    </w:p>
    <w:p w14:paraId="25AC6600">
      <w:pPr>
        <w:bidi w:val="0"/>
        <w:rPr>
          <w:rFonts w:hint="default"/>
          <w:lang w:val="en-US" w:eastAsia="zh-CN"/>
        </w:rPr>
      </w:pPr>
      <w:r>
        <w:rPr>
          <w:rFonts w:hint="eastAsia"/>
          <w:lang w:val="en-US" w:eastAsia="zh-CN"/>
        </w:rPr>
        <w:t>（6</w:t>
      </w:r>
      <w:r>
        <w:rPr>
          <w:rFonts w:hint="default"/>
          <w:lang w:val="en-US" w:eastAsia="zh-CN"/>
        </w:rPr>
        <w:t>）</w:t>
      </w:r>
      <w:r>
        <w:rPr>
          <w:rFonts w:hint="eastAsia"/>
          <w:lang w:val="en-US" w:eastAsia="zh-CN"/>
        </w:rPr>
        <w:t>昌江区</w:t>
      </w:r>
      <w:r>
        <w:rPr>
          <w:rFonts w:hint="default"/>
          <w:lang w:val="en-US" w:eastAsia="zh-CN"/>
        </w:rPr>
        <w:t>粮食生产功能区和重要农产品生产保护区成果；</w:t>
      </w:r>
    </w:p>
    <w:p w14:paraId="1A9C12D5">
      <w:pPr>
        <w:bidi w:val="0"/>
        <w:rPr>
          <w:rFonts w:hint="default"/>
          <w:lang w:val="en-US" w:eastAsia="zh-CN"/>
        </w:rPr>
      </w:pPr>
      <w:r>
        <w:rPr>
          <w:rFonts w:hint="eastAsia"/>
          <w:lang w:val="en-US" w:eastAsia="zh-CN"/>
        </w:rPr>
        <w:t>（7</w:t>
      </w:r>
      <w:r>
        <w:rPr>
          <w:rFonts w:hint="default"/>
          <w:lang w:val="en-US" w:eastAsia="zh-CN"/>
        </w:rPr>
        <w:t>）</w:t>
      </w:r>
      <w:r>
        <w:rPr>
          <w:rFonts w:hint="eastAsia"/>
          <w:lang w:val="en-US" w:eastAsia="zh-CN"/>
        </w:rPr>
        <w:t>昌江区</w:t>
      </w:r>
      <w:r>
        <w:rPr>
          <w:rFonts w:hint="default"/>
          <w:lang w:val="en-US" w:eastAsia="zh-CN"/>
        </w:rPr>
        <w:t>河湖管理范围划界成果；</w:t>
      </w:r>
    </w:p>
    <w:p w14:paraId="3C9DFBB7">
      <w:pPr>
        <w:bidi w:val="0"/>
        <w:rPr>
          <w:rFonts w:hint="default"/>
          <w:lang w:val="en-US" w:eastAsia="zh-CN"/>
        </w:rPr>
      </w:pPr>
      <w:r>
        <w:rPr>
          <w:rFonts w:hint="eastAsia"/>
          <w:lang w:val="en-US" w:eastAsia="zh-CN"/>
        </w:rPr>
        <w:t>（8</w:t>
      </w:r>
      <w:r>
        <w:rPr>
          <w:rFonts w:hint="default"/>
          <w:lang w:val="en-US" w:eastAsia="zh-CN"/>
        </w:rPr>
        <w:t>）</w:t>
      </w:r>
      <w:r>
        <w:rPr>
          <w:rFonts w:hint="eastAsia"/>
          <w:lang w:val="en-US" w:eastAsia="zh-CN"/>
        </w:rPr>
        <w:t>昌江区</w:t>
      </w:r>
      <w:r>
        <w:rPr>
          <w:rFonts w:hint="default"/>
          <w:lang w:val="en-US" w:eastAsia="zh-CN"/>
        </w:rPr>
        <w:t>生态保护红线成果；</w:t>
      </w:r>
    </w:p>
    <w:p w14:paraId="780E5A67">
      <w:pPr>
        <w:bidi w:val="0"/>
        <w:rPr>
          <w:rFonts w:hint="default"/>
          <w:lang w:val="en-US" w:eastAsia="zh-CN"/>
        </w:rPr>
      </w:pPr>
      <w:r>
        <w:rPr>
          <w:rFonts w:hint="eastAsia"/>
          <w:lang w:val="en-US" w:eastAsia="zh-CN"/>
        </w:rPr>
        <w:t>（9</w:t>
      </w:r>
      <w:r>
        <w:rPr>
          <w:rFonts w:hint="default"/>
          <w:lang w:val="en-US" w:eastAsia="zh-CN"/>
        </w:rPr>
        <w:t>）</w:t>
      </w:r>
      <w:r>
        <w:rPr>
          <w:rFonts w:hint="eastAsia"/>
          <w:lang w:val="en-US" w:eastAsia="zh-CN"/>
        </w:rPr>
        <w:t>昌江区</w:t>
      </w:r>
      <w:r>
        <w:rPr>
          <w:rFonts w:hint="default"/>
          <w:lang w:val="en-US" w:eastAsia="zh-CN"/>
        </w:rPr>
        <w:t>十二五以来高标准农田上图入库成果数据；</w:t>
      </w:r>
    </w:p>
    <w:p w14:paraId="103D8655">
      <w:pPr>
        <w:bidi w:val="0"/>
        <w:rPr>
          <w:rFonts w:hint="default"/>
          <w:lang w:val="en-US" w:eastAsia="zh-CN"/>
        </w:rPr>
      </w:pPr>
      <w:r>
        <w:rPr>
          <w:rFonts w:hint="eastAsia"/>
          <w:lang w:val="en-US" w:eastAsia="zh-CN"/>
        </w:rPr>
        <w:t>（</w:t>
      </w:r>
      <w:r>
        <w:rPr>
          <w:rFonts w:hint="default"/>
          <w:lang w:val="en-US" w:eastAsia="zh-CN"/>
        </w:rPr>
        <w:t>1</w:t>
      </w:r>
      <w:r>
        <w:rPr>
          <w:rFonts w:hint="eastAsia"/>
          <w:lang w:val="en-US" w:eastAsia="zh-CN"/>
        </w:rPr>
        <w:t>0</w:t>
      </w:r>
      <w:r>
        <w:rPr>
          <w:rFonts w:hint="default"/>
          <w:lang w:val="en-US" w:eastAsia="zh-CN"/>
        </w:rPr>
        <w:t>）江西省造价信息2026年第6期（景德镇市）；</w:t>
      </w:r>
    </w:p>
    <w:p w14:paraId="34FD64B3">
      <w:pPr>
        <w:bidi w:val="0"/>
        <w:rPr>
          <w:rFonts w:hint="default"/>
          <w:lang w:val="en-US" w:eastAsia="zh-CN"/>
        </w:rPr>
      </w:pPr>
      <w:r>
        <w:rPr>
          <w:rFonts w:hint="eastAsia"/>
          <w:lang w:val="en-US" w:eastAsia="zh-CN"/>
        </w:rPr>
        <w:t>（</w:t>
      </w:r>
      <w:r>
        <w:rPr>
          <w:rFonts w:hint="default"/>
          <w:lang w:val="en-US" w:eastAsia="zh-CN"/>
        </w:rPr>
        <w:t>1</w:t>
      </w:r>
      <w:r>
        <w:rPr>
          <w:rFonts w:hint="eastAsia"/>
          <w:lang w:val="en-US" w:eastAsia="zh-CN"/>
        </w:rPr>
        <w:t>1</w:t>
      </w:r>
      <w:r>
        <w:rPr>
          <w:rFonts w:hint="default"/>
          <w:lang w:val="en-US" w:eastAsia="zh-CN"/>
        </w:rPr>
        <w:t>）项目区地形勘测图1</w:t>
      </w:r>
      <w:r>
        <w:rPr>
          <w:rFonts w:hint="eastAsia"/>
          <w:lang w:val="en-US" w:eastAsia="zh-CN"/>
        </w:rPr>
        <w:t>：</w:t>
      </w:r>
      <w:r>
        <w:rPr>
          <w:rFonts w:hint="default"/>
          <w:lang w:val="en-US" w:eastAsia="zh-CN"/>
        </w:rPr>
        <w:t>1000；</w:t>
      </w:r>
    </w:p>
    <w:p w14:paraId="77E91AE7">
      <w:pPr>
        <w:bidi w:val="0"/>
        <w:rPr>
          <w:rFonts w:hint="eastAsia"/>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lang w:val="en-US" w:eastAsia="zh-CN"/>
        </w:rPr>
        <w:t>（</w:t>
      </w:r>
      <w:r>
        <w:rPr>
          <w:rFonts w:hint="default"/>
          <w:lang w:val="en-US" w:eastAsia="zh-CN"/>
        </w:rPr>
        <w:t>1</w:t>
      </w:r>
      <w:r>
        <w:rPr>
          <w:rFonts w:hint="eastAsia"/>
          <w:lang w:val="en-US" w:eastAsia="zh-CN"/>
        </w:rPr>
        <w:t>2</w:t>
      </w:r>
      <w:r>
        <w:rPr>
          <w:rFonts w:hint="default"/>
          <w:lang w:val="en-US" w:eastAsia="zh-CN"/>
        </w:rPr>
        <w:t>）其他基础资料及数据。</w:t>
      </w:r>
    </w:p>
    <w:p w14:paraId="6D79FBE5">
      <w:pPr>
        <w:pStyle w:val="2"/>
        <w:bidi w:val="0"/>
        <w:rPr>
          <w:rFonts w:hint="eastAsia"/>
          <w:lang w:val="en-US" w:eastAsia="zh-CN"/>
        </w:rPr>
      </w:pPr>
      <w:bookmarkStart w:id="19" w:name="_Toc13690"/>
      <w:r>
        <w:rPr>
          <w:rFonts w:hint="eastAsia"/>
          <w:lang w:val="en-US" w:eastAsia="zh-CN"/>
        </w:rPr>
        <w:t>第二章  项目区水土资源评价</w:t>
      </w:r>
      <w:bookmarkEnd w:id="19"/>
    </w:p>
    <w:p w14:paraId="4BB872D2">
      <w:pPr>
        <w:pStyle w:val="3"/>
        <w:bidi w:val="0"/>
      </w:pPr>
      <w:bookmarkStart w:id="20" w:name="_Toc9382"/>
      <w:r>
        <w:rPr>
          <w:rFonts w:hint="eastAsia"/>
          <w:lang w:val="en-US" w:eastAsia="zh-CN"/>
        </w:rPr>
        <w:t xml:space="preserve">2.1 </w:t>
      </w:r>
      <w:r>
        <w:t>耕地资源</w:t>
      </w:r>
      <w:r>
        <w:rPr>
          <w:rFonts w:hint="eastAsia"/>
          <w:lang w:val="en-US" w:eastAsia="zh-CN"/>
        </w:rPr>
        <w:t>现状分析与</w:t>
      </w:r>
      <w:r>
        <w:t>评价</w:t>
      </w:r>
      <w:bookmarkEnd w:id="20"/>
    </w:p>
    <w:p w14:paraId="5A3DDE13">
      <w:pPr>
        <w:pStyle w:val="4"/>
        <w:bidi w:val="0"/>
        <w:rPr>
          <w:rFonts w:hint="eastAsia"/>
          <w:lang w:val="en-US" w:eastAsia="zh-CN"/>
        </w:rPr>
      </w:pPr>
      <w:r>
        <w:rPr>
          <w:rFonts w:hint="eastAsia"/>
          <w:lang w:val="en-US" w:eastAsia="zh-CN"/>
        </w:rPr>
        <w:t xml:space="preserve">2.1.1 </w:t>
      </w:r>
      <w:r>
        <w:t>耕地</w:t>
      </w:r>
      <w:r>
        <w:rPr>
          <w:rFonts w:hint="eastAsia"/>
          <w:lang w:val="en-US" w:eastAsia="zh-CN"/>
        </w:rPr>
        <w:t>资源现状</w:t>
      </w:r>
    </w:p>
    <w:p w14:paraId="6A78495E">
      <w:pPr>
        <w:spacing w:after="0" w:line="360" w:lineRule="auto"/>
        <w:ind w:firstLine="480" w:firstLineChars="200"/>
        <w:rPr>
          <w:rFonts w:hint="eastAsia" w:ascii="Times New Roman" w:hAnsi="Times New Roman" w:cs="Times New Roman"/>
          <w:color w:val="auto"/>
          <w:sz w:val="24"/>
          <w:szCs w:val="24"/>
          <w:highlight w:val="none"/>
          <w:lang w:eastAsia="zh-CN"/>
        </w:rPr>
      </w:pPr>
      <w:r>
        <w:rPr>
          <w:rFonts w:hint="default"/>
          <w:highlight w:val="none"/>
          <w:lang w:val="en-US" w:eastAsia="zh-CN"/>
        </w:rPr>
        <w:t>经查询202</w:t>
      </w:r>
      <w:r>
        <w:rPr>
          <w:rFonts w:hint="eastAsia"/>
          <w:highlight w:val="none"/>
          <w:lang w:val="en-US" w:eastAsia="zh-CN"/>
        </w:rPr>
        <w:t>4</w:t>
      </w:r>
      <w:r>
        <w:rPr>
          <w:rFonts w:hint="default"/>
          <w:highlight w:val="none"/>
          <w:lang w:val="en-US" w:eastAsia="zh-CN"/>
        </w:rPr>
        <w:t>年国土变更调查数据库，</w:t>
      </w:r>
      <w:r>
        <w:rPr>
          <w:rFonts w:hint="eastAsia"/>
          <w:highlight w:val="none"/>
          <w:lang w:val="en-US" w:eastAsia="zh-CN"/>
        </w:rPr>
        <w:t>涉及</w:t>
      </w:r>
      <w:r>
        <w:rPr>
          <w:rFonts w:hint="default"/>
          <w:highlight w:val="none"/>
          <w:lang w:val="en-US" w:eastAsia="zh-CN"/>
        </w:rPr>
        <w:t>项目区耕地总面积</w:t>
      </w:r>
      <w:r>
        <w:rPr>
          <w:rFonts w:hint="eastAsia"/>
          <w:highlight w:val="none"/>
          <w:lang w:val="en-US" w:eastAsia="zh-CN"/>
        </w:rPr>
        <w:t>519.61</w:t>
      </w:r>
      <w:r>
        <w:rPr>
          <w:rFonts w:hint="default"/>
          <w:highlight w:val="none"/>
          <w:lang w:val="en-US" w:eastAsia="zh-CN"/>
        </w:rPr>
        <w:t>亩，</w:t>
      </w:r>
      <w:r>
        <w:rPr>
          <w:rFonts w:hint="eastAsia"/>
          <w:highlight w:val="none"/>
          <w:lang w:val="en-US" w:eastAsia="zh-CN"/>
        </w:rPr>
        <w:t>全部为水田</w:t>
      </w:r>
      <w:r>
        <w:rPr>
          <w:rFonts w:hint="eastAsia" w:ascii="Times New Roman" w:hAnsi="Times New Roman" w:cs="Times New Roman"/>
          <w:color w:val="auto"/>
          <w:sz w:val="24"/>
          <w:szCs w:val="24"/>
          <w:highlight w:val="none"/>
          <w:lang w:eastAsia="zh-CN"/>
        </w:rPr>
        <w:t>。</w:t>
      </w:r>
    </w:p>
    <w:p w14:paraId="333F2C3C">
      <w:pPr>
        <w:pStyle w:val="4"/>
        <w:bidi w:val="0"/>
      </w:pPr>
      <w:r>
        <w:rPr>
          <w:rFonts w:hint="eastAsia"/>
          <w:lang w:val="en-US" w:eastAsia="zh-CN"/>
        </w:rPr>
        <w:t xml:space="preserve">2.1.2 </w:t>
      </w:r>
      <w:r>
        <w:t>土地流转及权属情况</w:t>
      </w:r>
    </w:p>
    <w:p w14:paraId="564812D8">
      <w:pPr>
        <w:bidi w:val="0"/>
        <w:rPr>
          <w:rFonts w:hint="eastAsia"/>
        </w:rPr>
      </w:pPr>
      <w:r>
        <w:rPr>
          <w:rFonts w:hint="eastAsia"/>
          <w:lang w:val="en-US" w:eastAsia="zh-CN"/>
        </w:rPr>
        <w:t>昌江区高标准农田损毁设施集中修复项目选址</w:t>
      </w:r>
      <w:r>
        <w:rPr>
          <w:rFonts w:hint="eastAsia"/>
        </w:rPr>
        <w:t>位于</w:t>
      </w:r>
      <w:r>
        <w:rPr>
          <w:rFonts w:hint="eastAsia"/>
          <w:lang w:val="en-US" w:eastAsia="zh-CN"/>
        </w:rPr>
        <w:t>本项目涉及丽阳镇联村村、丽阳村，鲇鱼山镇关山村、新柳村、鱼山村、凤岗村；共计2个乡镇（场）6个行政村</w:t>
      </w:r>
      <w:r>
        <w:rPr>
          <w:rFonts w:hint="eastAsia"/>
          <w:lang w:val="zh-CN"/>
        </w:rPr>
        <w:t>。</w:t>
      </w:r>
      <w:r>
        <w:rPr>
          <w:rFonts w:hint="eastAsia"/>
        </w:rPr>
        <w:t>土地权属明确，四至清楚，不存在争议。</w:t>
      </w:r>
    </w:p>
    <w:p w14:paraId="0D29F1F5">
      <w:pPr>
        <w:pStyle w:val="5"/>
        <w:bidi w:val="0"/>
        <w:rPr>
          <w:rFonts w:hint="eastAsia"/>
          <w:lang w:val="zh-CN"/>
        </w:rPr>
      </w:pPr>
      <w:bookmarkStart w:id="21" w:name="_Toc6792"/>
      <w:bookmarkStart w:id="22" w:name="_Toc393098206"/>
      <w:bookmarkStart w:id="23" w:name="_Toc523661477"/>
      <w:bookmarkStart w:id="24" w:name="_Toc114758716"/>
      <w:bookmarkStart w:id="25" w:name="_Toc511662479"/>
      <w:r>
        <w:rPr>
          <w:rFonts w:hint="eastAsia"/>
          <w:lang w:val="en-US" w:eastAsia="zh-CN"/>
        </w:rPr>
        <w:t xml:space="preserve">2.1.2.1 </w:t>
      </w:r>
      <w:r>
        <w:rPr>
          <w:rFonts w:hint="eastAsia"/>
          <w:lang w:val="zh-CN"/>
        </w:rPr>
        <w:t>土地权属调整方案</w:t>
      </w:r>
      <w:bookmarkEnd w:id="21"/>
      <w:bookmarkEnd w:id="22"/>
      <w:bookmarkEnd w:id="23"/>
      <w:bookmarkEnd w:id="24"/>
      <w:bookmarkEnd w:id="25"/>
    </w:p>
    <w:p w14:paraId="3EE31BDA">
      <w:pPr>
        <w:bidi w:val="0"/>
        <w:rPr>
          <w:rFonts w:hint="eastAsia"/>
        </w:rPr>
      </w:pPr>
      <w:bookmarkStart w:id="26" w:name="_Toc13324"/>
      <w:r>
        <w:rPr>
          <w:rFonts w:hint="eastAsia"/>
          <w:lang w:val="en-US" w:eastAsia="zh-CN"/>
        </w:rPr>
        <w:t>（1）</w:t>
      </w:r>
      <w:r>
        <w:rPr>
          <w:rFonts w:hint="eastAsia"/>
        </w:rPr>
        <w:t>土地权属调整的依据、原则</w:t>
      </w:r>
      <w:bookmarkEnd w:id="26"/>
    </w:p>
    <w:p w14:paraId="5714B754">
      <w:pPr>
        <w:bidi w:val="0"/>
        <w:rPr>
          <w:lang w:val="zh-CN"/>
        </w:rPr>
      </w:pPr>
      <w:r>
        <w:rPr>
          <w:lang w:val="zh-CN"/>
        </w:rPr>
        <w:t>1</w:t>
      </w:r>
      <w:r>
        <w:rPr>
          <w:rFonts w:hint="eastAsia"/>
          <w:lang w:val="zh-CN"/>
        </w:rPr>
        <w:t>）</w:t>
      </w:r>
      <w:r>
        <w:rPr>
          <w:lang w:val="zh-CN"/>
        </w:rPr>
        <w:t>土地权属调整的依据</w:t>
      </w:r>
    </w:p>
    <w:p w14:paraId="30498467">
      <w:pPr>
        <w:bidi w:val="0"/>
        <w:rPr>
          <w:lang w:val="zh-CN"/>
        </w:rPr>
      </w:pPr>
      <w:r>
        <w:rPr>
          <w:rFonts w:hint="eastAsia"/>
          <w:lang w:val="en-US" w:eastAsia="zh-CN"/>
        </w:rPr>
        <w:t>①</w:t>
      </w:r>
      <w:r>
        <w:rPr>
          <w:lang w:val="zh-CN"/>
        </w:rPr>
        <w:t>《中华人民共和国民法典》；</w:t>
      </w:r>
    </w:p>
    <w:p w14:paraId="4FEBF189">
      <w:pPr>
        <w:bidi w:val="0"/>
        <w:rPr>
          <w:lang w:val="zh-CN"/>
        </w:rPr>
      </w:pPr>
      <w:r>
        <w:rPr>
          <w:rFonts w:hint="eastAsia"/>
          <w:lang w:val="en-US" w:eastAsia="zh-CN"/>
        </w:rPr>
        <w:t>②</w:t>
      </w:r>
      <w:r>
        <w:rPr>
          <w:lang w:val="zh-CN"/>
        </w:rPr>
        <w:t>《中华人民共和国土地管理法》；</w:t>
      </w:r>
    </w:p>
    <w:p w14:paraId="41116F28">
      <w:pPr>
        <w:bidi w:val="0"/>
        <w:rPr>
          <w:lang w:val="zh-CN"/>
        </w:rPr>
      </w:pPr>
      <w:r>
        <w:rPr>
          <w:rFonts w:hint="eastAsia"/>
          <w:lang w:val="en-US" w:eastAsia="zh-CN"/>
        </w:rPr>
        <w:t>③</w:t>
      </w:r>
      <w:r>
        <w:rPr>
          <w:lang w:val="zh-CN"/>
        </w:rPr>
        <w:t>《中华人民共和国农村土地承包法》；</w:t>
      </w:r>
    </w:p>
    <w:p w14:paraId="2C59F928">
      <w:pPr>
        <w:bidi w:val="0"/>
        <w:rPr>
          <w:lang w:val="zh-CN"/>
        </w:rPr>
      </w:pPr>
      <w:r>
        <w:rPr>
          <w:rFonts w:hint="eastAsia"/>
          <w:lang w:val="en-US" w:eastAsia="zh-CN"/>
        </w:rPr>
        <w:t>④</w:t>
      </w:r>
      <w:r>
        <w:rPr>
          <w:lang w:val="zh-CN"/>
        </w:rPr>
        <w:t>《农村土地承包经营权流转管理办法》。</w:t>
      </w:r>
    </w:p>
    <w:p w14:paraId="55EE110A">
      <w:pPr>
        <w:bidi w:val="0"/>
        <w:rPr>
          <w:lang w:val="zh-CN"/>
        </w:rPr>
      </w:pPr>
      <w:r>
        <w:rPr>
          <w:lang w:val="zh-CN"/>
        </w:rPr>
        <w:t>2</w:t>
      </w:r>
      <w:r>
        <w:rPr>
          <w:rFonts w:hint="eastAsia"/>
          <w:lang w:val="zh-CN"/>
        </w:rPr>
        <w:t>）</w:t>
      </w:r>
      <w:r>
        <w:rPr>
          <w:lang w:val="zh-CN"/>
        </w:rPr>
        <w:t>土地权属调整的依据</w:t>
      </w:r>
    </w:p>
    <w:p w14:paraId="2853CCB4">
      <w:pPr>
        <w:bidi w:val="0"/>
        <w:rPr>
          <w:lang w:val="zh-CN"/>
        </w:rPr>
      </w:pPr>
      <w:r>
        <w:rPr>
          <w:rFonts w:hint="eastAsia"/>
          <w:lang w:val="en-US" w:eastAsia="zh-CN"/>
        </w:rPr>
        <w:t>①</w:t>
      </w:r>
      <w:r>
        <w:rPr>
          <w:lang w:val="zh-CN"/>
        </w:rPr>
        <w:t>依法依规的原则。要依照法律法规和政策抓好土地权属管理各项工作，特别是不得以土地权</w:t>
      </w:r>
      <w:r>
        <w:rPr>
          <w:rFonts w:hint="eastAsia"/>
          <w:lang w:val="zh-CN"/>
        </w:rPr>
        <w:t>属</w:t>
      </w:r>
      <w:r>
        <w:rPr>
          <w:lang w:val="zh-CN"/>
        </w:rPr>
        <w:t>调整的名义、擅自将农村集体土地转为国有土地。</w:t>
      </w:r>
    </w:p>
    <w:p w14:paraId="028BE00B">
      <w:pPr>
        <w:bidi w:val="0"/>
        <w:rPr>
          <w:lang w:val="zh-CN"/>
        </w:rPr>
      </w:pPr>
      <w:r>
        <w:rPr>
          <w:rFonts w:hint="eastAsia"/>
          <w:lang w:val="en-US" w:eastAsia="zh-CN"/>
        </w:rPr>
        <w:t>②</w:t>
      </w:r>
      <w:r>
        <w:rPr>
          <w:lang w:val="zh-CN"/>
        </w:rPr>
        <w:t>确权在先原则。对列入整治范围特别是建设高标准基本农田的区域，要按照集体土地确权登记的要求，优先开展工作，确保高标准农田建设在权属明晰的基础上进行。</w:t>
      </w:r>
    </w:p>
    <w:p w14:paraId="456794AC">
      <w:pPr>
        <w:bidi w:val="0"/>
        <w:rPr>
          <w:lang w:val="zh-CN"/>
        </w:rPr>
      </w:pPr>
      <w:r>
        <w:rPr>
          <w:rFonts w:hint="eastAsia"/>
          <w:lang w:val="en-US" w:eastAsia="zh-CN"/>
        </w:rPr>
        <w:t>③</w:t>
      </w:r>
      <w:r>
        <w:rPr>
          <w:lang w:val="zh-CN"/>
        </w:rPr>
        <w:t>自愿协商原则。高标准农田建设项目涉及土地权属调整的，要按照政府引导、村组协调、农民自愿的要求协商解决，尊重权利人意愿，维护其合法权益。</w:t>
      </w:r>
    </w:p>
    <w:p w14:paraId="58B1B1DD">
      <w:pPr>
        <w:bidi w:val="0"/>
        <w:rPr>
          <w:lang w:val="zh-CN"/>
        </w:rPr>
      </w:pPr>
      <w:r>
        <w:rPr>
          <w:rFonts w:hint="eastAsia"/>
          <w:lang w:val="en-US" w:eastAsia="zh-CN"/>
        </w:rPr>
        <w:t>④</w:t>
      </w:r>
      <w:r>
        <w:rPr>
          <w:lang w:val="zh-CN"/>
        </w:rPr>
        <w:t>公开公平原则。建设前后的土地权属状况和权属调整情况要实行公告，保障权利人的知情权、参与权、受益权和监督权。</w:t>
      </w:r>
    </w:p>
    <w:p w14:paraId="520691CC">
      <w:pPr>
        <w:bidi w:val="0"/>
        <w:rPr>
          <w:lang w:val="zh-CN"/>
        </w:rPr>
      </w:pPr>
      <w:r>
        <w:rPr>
          <w:rFonts w:hint="eastAsia"/>
          <w:lang w:val="en-US" w:eastAsia="zh-CN"/>
        </w:rPr>
        <w:t>⑤</w:t>
      </w:r>
      <w:r>
        <w:rPr>
          <w:lang w:val="zh-CN"/>
        </w:rPr>
        <w:t>维护稳定原则。涉及土地权属调整的，应由权利人签订协议并依法报经有批准权机关批准，土地权属状况在建设后要较建设前更清晰、调配更合理有序，不发生新的纠纷。</w:t>
      </w:r>
    </w:p>
    <w:p w14:paraId="5144BAF2">
      <w:pPr>
        <w:bidi w:val="0"/>
        <w:rPr>
          <w:rFonts w:hint="eastAsia"/>
          <w:lang w:val="en-US" w:eastAsia="zh-CN"/>
        </w:rPr>
      </w:pPr>
      <w:bookmarkStart w:id="27" w:name="_Toc13975"/>
      <w:r>
        <w:rPr>
          <w:rFonts w:hint="eastAsia"/>
          <w:lang w:val="en-US" w:eastAsia="zh-CN"/>
        </w:rPr>
        <w:t>（2）土地权属调整的程序、方法</w:t>
      </w:r>
      <w:bookmarkEnd w:id="27"/>
    </w:p>
    <w:p w14:paraId="38D95AFD">
      <w:pPr>
        <w:bidi w:val="0"/>
        <w:rPr>
          <w:lang w:val="zh-CN"/>
        </w:rPr>
      </w:pPr>
      <w:r>
        <w:rPr>
          <w:lang w:val="zh-CN"/>
        </w:rPr>
        <w:t>1</w:t>
      </w:r>
      <w:r>
        <w:rPr>
          <w:rFonts w:hint="eastAsia"/>
          <w:lang w:val="zh-CN"/>
        </w:rPr>
        <w:t>）</w:t>
      </w:r>
      <w:r>
        <w:rPr>
          <w:lang w:val="zh-CN"/>
        </w:rPr>
        <w:t>土地权属调整的程序</w:t>
      </w:r>
    </w:p>
    <w:p w14:paraId="71AB2D7C">
      <w:pPr>
        <w:bidi w:val="0"/>
        <w:rPr>
          <w:lang w:val="zh-CN"/>
        </w:rPr>
      </w:pPr>
      <w:r>
        <w:rPr>
          <w:rFonts w:hint="eastAsia"/>
          <w:lang w:val="en-US" w:eastAsia="zh-CN"/>
        </w:rPr>
        <w:t>①</w:t>
      </w:r>
      <w:r>
        <w:rPr>
          <w:lang w:val="zh-CN"/>
        </w:rPr>
        <w:t>查清拟开展高标准农田建设区域的土地利用和权属现状，调查了解权利人权属调整意愿，分析、统计权属调整的初步意向，作为土地权属调整的依据。</w:t>
      </w:r>
    </w:p>
    <w:p w14:paraId="7F217E91">
      <w:pPr>
        <w:bidi w:val="0"/>
        <w:rPr>
          <w:lang w:val="zh-CN"/>
        </w:rPr>
      </w:pPr>
      <w:r>
        <w:rPr>
          <w:rFonts w:hint="eastAsia"/>
          <w:lang w:val="en-US" w:eastAsia="zh-CN"/>
        </w:rPr>
        <w:t>②</w:t>
      </w:r>
      <w:r>
        <w:rPr>
          <w:lang w:val="zh-CN"/>
        </w:rPr>
        <w:t>结合高标准农田建设项目规划设计方案，编制土地权属调整方案，协调签订土地权属调整协议。</w:t>
      </w:r>
    </w:p>
    <w:p w14:paraId="2FB072F5">
      <w:pPr>
        <w:bidi w:val="0"/>
        <w:rPr>
          <w:lang w:val="zh-CN"/>
        </w:rPr>
      </w:pPr>
      <w:r>
        <w:rPr>
          <w:rFonts w:hint="eastAsia"/>
          <w:lang w:val="en-US" w:eastAsia="zh-CN"/>
        </w:rPr>
        <w:t>③</w:t>
      </w:r>
      <w:r>
        <w:rPr>
          <w:lang w:val="zh-CN"/>
        </w:rPr>
        <w:t>在项目实施阶段，禁止除高标准农田建设活动外任何改变土地利用现状的行为，土地权属调整方案需要作适当修改的，应协调签订补充协议。</w:t>
      </w:r>
    </w:p>
    <w:p w14:paraId="4ECBCD8A">
      <w:pPr>
        <w:bidi w:val="0"/>
        <w:rPr>
          <w:lang w:val="zh-CN"/>
        </w:rPr>
      </w:pPr>
      <w:r>
        <w:rPr>
          <w:rFonts w:hint="eastAsia"/>
          <w:lang w:val="en-US" w:eastAsia="zh-CN"/>
        </w:rPr>
        <w:t>④</w:t>
      </w:r>
      <w:r>
        <w:rPr>
          <w:lang w:val="zh-CN"/>
        </w:rPr>
        <w:t>在项目竣工验收阶段，组织落实土地权属调整方案，对新的权属界线进行勘测定界形成图件，并由权利人签字确认，编写高标准农田建设权属调整报告。</w:t>
      </w:r>
    </w:p>
    <w:p w14:paraId="1FE6A5C7">
      <w:pPr>
        <w:pStyle w:val="5"/>
        <w:bidi w:val="0"/>
        <w:rPr>
          <w:lang w:val="zh-CN"/>
        </w:rPr>
      </w:pPr>
      <w:r>
        <w:rPr>
          <w:rFonts w:hint="eastAsia"/>
          <w:lang w:val="en-US" w:eastAsia="zh-CN"/>
        </w:rPr>
        <w:t>2.1.2.2</w:t>
      </w:r>
      <w:r>
        <w:rPr>
          <w:lang w:val="zh-CN"/>
        </w:rPr>
        <w:t>土地权属调整的方法</w:t>
      </w:r>
    </w:p>
    <w:p w14:paraId="416462C9">
      <w:pPr>
        <w:bidi w:val="0"/>
        <w:rPr>
          <w:lang w:val="zh-CN"/>
        </w:rPr>
      </w:pPr>
      <w:r>
        <w:rPr>
          <w:rFonts w:hint="eastAsia"/>
          <w:lang w:val="zh-CN"/>
        </w:rPr>
        <w:t>（</w:t>
      </w:r>
      <w:r>
        <w:rPr>
          <w:rFonts w:hint="eastAsia"/>
          <w:lang w:val="en-US" w:eastAsia="zh-CN"/>
        </w:rPr>
        <w:t>1</w:t>
      </w:r>
      <w:r>
        <w:rPr>
          <w:rFonts w:hint="eastAsia"/>
          <w:lang w:val="zh-CN"/>
        </w:rPr>
        <w:t>）</w:t>
      </w:r>
      <w:r>
        <w:rPr>
          <w:lang w:val="zh-CN"/>
        </w:rPr>
        <w:t>土地承包经营权调整</w:t>
      </w:r>
    </w:p>
    <w:p w14:paraId="40B1194B">
      <w:pPr>
        <w:bidi w:val="0"/>
        <w:rPr>
          <w:lang w:val="zh-CN"/>
        </w:rPr>
      </w:pPr>
      <w:r>
        <w:rPr>
          <w:lang w:val="zh-CN"/>
        </w:rPr>
        <w:t>按等质等量模式调整土地承包经营权。在土地流转集中很难实现的地方，高标准农田建设只能在稳定经营承包权的基础上，按建设前后土地数量质量相当模式将建设后的土地重新分配、认定，并签署土地权属界限认可书和土地经营承包权。</w:t>
      </w:r>
    </w:p>
    <w:p w14:paraId="4E52B257">
      <w:pPr>
        <w:bidi w:val="0"/>
        <w:rPr>
          <w:lang w:val="zh-CN"/>
        </w:rPr>
      </w:pPr>
      <w:r>
        <w:rPr>
          <w:lang w:val="zh-CN"/>
        </w:rPr>
        <w:t>对因高标准农田建设工程占地造成土地权益损失的农户的土地补偿，按照土地面积和质量相当的原则，按照一定的比例，优先在新增耕地中给予土地补偿。没有新增耕地或者新增耕地不足的，可以从机动地中予以补偿。没有机动地或者机动地不足的，按照谁受益谁分摊的原则，由高标准农田建设区内的农户均摊。</w:t>
      </w:r>
    </w:p>
    <w:p w14:paraId="3FA3E61F">
      <w:pPr>
        <w:bidi w:val="0"/>
        <w:rPr>
          <w:lang w:val="zh-CN"/>
        </w:rPr>
      </w:pPr>
      <w:r>
        <w:rPr>
          <w:lang w:val="zh-CN"/>
        </w:rPr>
        <w:t>通过田块归并和工程布局，建设后田块数量变少，田块面积变大，可能出现同一地块几家共同经营的状况，可采取在地块中做一些象征性的区分标志来加以解决。</w:t>
      </w:r>
    </w:p>
    <w:p w14:paraId="6892B676">
      <w:pPr>
        <w:bidi w:val="0"/>
        <w:rPr>
          <w:lang w:val="zh-CN"/>
        </w:rPr>
      </w:pPr>
      <w:r>
        <w:rPr>
          <w:rFonts w:hint="eastAsia"/>
          <w:lang w:val="zh-CN"/>
        </w:rPr>
        <w:t>（</w:t>
      </w:r>
      <w:r>
        <w:rPr>
          <w:rFonts w:hint="eastAsia"/>
          <w:lang w:val="en-US" w:eastAsia="zh-CN"/>
        </w:rPr>
        <w:t>2</w:t>
      </w:r>
      <w:r>
        <w:rPr>
          <w:rFonts w:hint="eastAsia"/>
          <w:lang w:val="zh-CN"/>
        </w:rPr>
        <w:t>）</w:t>
      </w:r>
      <w:r>
        <w:rPr>
          <w:lang w:val="zh-CN"/>
        </w:rPr>
        <w:t>发展现代农业的土地权属调整</w:t>
      </w:r>
    </w:p>
    <w:p w14:paraId="54A153FA">
      <w:pPr>
        <w:bidi w:val="0"/>
        <w:rPr>
          <w:lang w:val="zh-CN"/>
        </w:rPr>
      </w:pPr>
      <w:r>
        <w:rPr>
          <w:lang w:val="zh-CN"/>
        </w:rPr>
        <w:t>对于具备土地流转条件的地方，在土地确权的前提下，以高标准农田建设为契机，将承包地和新增耕地进行各种形式的流转，向种粮大户集中，发展订单农业，发展公司+农户生产经营模式等等，促进现代农业的发展。</w:t>
      </w:r>
    </w:p>
    <w:p w14:paraId="709DC58B">
      <w:pPr>
        <w:bidi w:val="0"/>
        <w:rPr>
          <w:lang w:val="zh-CN"/>
        </w:rPr>
      </w:pPr>
      <w:r>
        <w:rPr>
          <w:rFonts w:hint="eastAsia"/>
          <w:lang w:val="zh-CN"/>
        </w:rPr>
        <w:t>（</w:t>
      </w:r>
      <w:r>
        <w:rPr>
          <w:rFonts w:hint="eastAsia"/>
          <w:lang w:val="en-US" w:eastAsia="zh-CN"/>
        </w:rPr>
        <w:t>3</w:t>
      </w:r>
      <w:r>
        <w:rPr>
          <w:rFonts w:hint="eastAsia"/>
          <w:lang w:val="zh-CN"/>
        </w:rPr>
        <w:t>）</w:t>
      </w:r>
      <w:r>
        <w:rPr>
          <w:lang w:val="zh-CN"/>
        </w:rPr>
        <w:t>土地承包经营权调整</w:t>
      </w:r>
    </w:p>
    <w:p w14:paraId="19F30197">
      <w:pPr>
        <w:bidi w:val="0"/>
        <w:rPr>
          <w:lang w:val="zh-CN"/>
        </w:rPr>
      </w:pPr>
      <w:r>
        <w:rPr>
          <w:lang w:val="zh-CN"/>
        </w:rPr>
        <w:t>农民集体土地承包经营权发生调整的，应当经村民会议三分之二以上成员或三分之二以上村民代表的同意，并报乡镇人民政府和</w:t>
      </w:r>
      <w:r>
        <w:rPr>
          <w:rFonts w:hint="eastAsia"/>
          <w:lang w:val="zh-CN"/>
        </w:rPr>
        <w:t>市</w:t>
      </w:r>
      <w:r>
        <w:rPr>
          <w:lang w:val="zh-CN"/>
        </w:rPr>
        <w:t>级农业农村行政主管部门批准。集体建设后新增耕地的分配，应经三分之二以上村民代表或村民会议</w:t>
      </w:r>
      <w:r>
        <w:rPr>
          <w:rFonts w:hint="eastAsia"/>
          <w:lang w:val="zh-CN"/>
        </w:rPr>
        <w:t>三分之二</w:t>
      </w:r>
      <w:r>
        <w:rPr>
          <w:lang w:val="zh-CN"/>
        </w:rPr>
        <w:t>以上成员讨论决定。土地权属调整方案应征得三分之二以上土地权利人的同意。集体经济组织内的农民对土地承包经营权调整有异议的，应在公告期内向村集体经济组织或乡人民政府提出，争议由村集体经济组织或乡人民政府调处。</w:t>
      </w:r>
    </w:p>
    <w:p w14:paraId="15BCD099">
      <w:pPr>
        <w:pStyle w:val="5"/>
        <w:bidi w:val="0"/>
        <w:rPr>
          <w:rFonts w:hint="eastAsia"/>
          <w:lang w:val="en-US" w:eastAsia="zh-CN"/>
        </w:rPr>
      </w:pPr>
      <w:bookmarkStart w:id="28" w:name="_Toc12640"/>
      <w:r>
        <w:rPr>
          <w:rFonts w:hint="eastAsia"/>
          <w:lang w:val="en-US" w:eastAsia="zh-CN"/>
        </w:rPr>
        <w:t>2.1.2.3 土地权属调整的内容</w:t>
      </w:r>
      <w:bookmarkEnd w:id="28"/>
    </w:p>
    <w:p w14:paraId="0C23A9F5">
      <w:pPr>
        <w:bidi w:val="0"/>
        <w:rPr>
          <w:lang w:val="zh-CN"/>
        </w:rPr>
      </w:pPr>
      <w:r>
        <w:rPr>
          <w:rFonts w:hint="eastAsia"/>
          <w:lang w:val="zh-CN"/>
        </w:rPr>
        <w:t>（</w:t>
      </w:r>
      <w:r>
        <w:rPr>
          <w:rFonts w:hint="eastAsia"/>
          <w:lang w:val="en-US" w:eastAsia="zh-CN"/>
        </w:rPr>
        <w:t>1</w:t>
      </w:r>
      <w:r>
        <w:rPr>
          <w:rFonts w:hint="eastAsia"/>
          <w:lang w:val="zh-CN"/>
        </w:rPr>
        <w:t>）</w:t>
      </w:r>
      <w:r>
        <w:rPr>
          <w:lang w:val="zh-CN"/>
        </w:rPr>
        <w:t>土地权属调整的范围</w:t>
      </w:r>
    </w:p>
    <w:p w14:paraId="4635A682">
      <w:pPr>
        <w:bidi w:val="0"/>
        <w:rPr>
          <w:lang w:val="zh-CN"/>
        </w:rPr>
      </w:pPr>
      <w:r>
        <w:rPr>
          <w:lang w:val="zh-CN"/>
        </w:rPr>
        <w:t>本项目区红线范围内村民委员会、村民小组和村民的承包经营权、所有权都为权属调整的范围。</w:t>
      </w:r>
    </w:p>
    <w:p w14:paraId="5B9B74E9">
      <w:pPr>
        <w:bidi w:val="0"/>
        <w:rPr>
          <w:lang w:val="zh-CN"/>
        </w:rPr>
      </w:pPr>
      <w:r>
        <w:rPr>
          <w:rFonts w:hint="eastAsia"/>
          <w:lang w:val="zh-CN"/>
        </w:rPr>
        <w:t>（</w:t>
      </w:r>
      <w:r>
        <w:rPr>
          <w:rFonts w:hint="eastAsia"/>
          <w:lang w:val="en-US" w:eastAsia="zh-CN"/>
        </w:rPr>
        <w:t>2</w:t>
      </w:r>
      <w:r>
        <w:rPr>
          <w:rFonts w:hint="eastAsia"/>
          <w:lang w:val="zh-CN"/>
        </w:rPr>
        <w:t>）</w:t>
      </w:r>
      <w:r>
        <w:rPr>
          <w:lang w:val="zh-CN"/>
        </w:rPr>
        <w:t>土地权属调整的过程</w:t>
      </w:r>
    </w:p>
    <w:p w14:paraId="38C0C381">
      <w:pPr>
        <w:bidi w:val="0"/>
        <w:rPr>
          <w:lang w:val="zh-CN"/>
        </w:rPr>
      </w:pPr>
      <w:r>
        <w:rPr>
          <w:rFonts w:hint="eastAsia"/>
          <w:lang w:val="en-US" w:eastAsia="zh-CN"/>
        </w:rPr>
        <w:t>1</w:t>
      </w:r>
      <w:r>
        <w:rPr>
          <w:lang w:val="zh-CN"/>
        </w:rPr>
        <w:t>）制定权属调整方案</w:t>
      </w:r>
    </w:p>
    <w:p w14:paraId="1115E74B">
      <w:pPr>
        <w:bidi w:val="0"/>
        <w:rPr>
          <w:lang w:val="zh-CN"/>
        </w:rPr>
      </w:pPr>
      <w:r>
        <w:rPr>
          <w:lang w:val="zh-CN"/>
        </w:rPr>
        <w:t>项目</w:t>
      </w:r>
      <w:r>
        <w:rPr>
          <w:rFonts w:hint="eastAsia"/>
          <w:lang w:val="zh-CN"/>
        </w:rPr>
        <w:t>经过建设完工</w:t>
      </w:r>
      <w:r>
        <w:rPr>
          <w:lang w:val="zh-CN"/>
        </w:rPr>
        <w:t>，改变了原来的地貌和地块四至标识，形成了新的地块，在土地权属调整过程中，既要保证标准化地块的完整性，又要防止人为的割裂而违背项目的初衷，需制定相应权属调整方案，保障在分配土地权益时，项目区范围内原有土地权利人权益不减少。土地权属调整方案应征得2/3以上土地权利人的同意。</w:t>
      </w:r>
    </w:p>
    <w:p w14:paraId="4E6A66C7">
      <w:pPr>
        <w:bidi w:val="0"/>
        <w:rPr>
          <w:lang w:val="zh-CN"/>
        </w:rPr>
      </w:pPr>
      <w:r>
        <w:rPr>
          <w:rFonts w:hint="eastAsia"/>
          <w:lang w:val="en-US" w:eastAsia="zh-CN"/>
        </w:rPr>
        <w:t>2</w:t>
      </w:r>
      <w:r>
        <w:rPr>
          <w:lang w:val="zh-CN"/>
        </w:rPr>
        <w:t>）签订土地权属调整协议</w:t>
      </w:r>
    </w:p>
    <w:p w14:paraId="6BB8DDA0">
      <w:pPr>
        <w:bidi w:val="0"/>
        <w:rPr>
          <w:lang w:val="zh-CN"/>
        </w:rPr>
      </w:pPr>
      <w:r>
        <w:rPr>
          <w:lang w:val="zh-CN"/>
        </w:rPr>
        <w:t>在项目建设过程中，将</w:t>
      </w:r>
      <w:r>
        <w:rPr>
          <w:rFonts w:hint="eastAsia"/>
          <w:lang w:val="zh-CN"/>
        </w:rPr>
        <w:t>涉及</w:t>
      </w:r>
      <w:r>
        <w:rPr>
          <w:lang w:val="zh-CN"/>
        </w:rPr>
        <w:t>村组之间权属调整的问题，由项目权属领导小组出面，组织受益村组，按照村原有耕地数量不减少的原则，采用抽取集体自留或新增耕地作为平衡用地进行对损害利益村的补偿，</w:t>
      </w:r>
      <w:r>
        <w:rPr>
          <w:rFonts w:hint="eastAsia"/>
          <w:lang w:val="zh-CN"/>
        </w:rPr>
        <w:t>签订</w:t>
      </w:r>
      <w:r>
        <w:rPr>
          <w:lang w:val="zh-CN"/>
        </w:rPr>
        <w:t>权属调整意向书，规定涉及纠纷的范围，调整的土地内容和面积，以及耕地质量和调整补偿的标准，征得各村组同意，并由各村组负责人签名。</w:t>
      </w:r>
    </w:p>
    <w:p w14:paraId="4E47DD6B">
      <w:pPr>
        <w:bidi w:val="0"/>
        <w:rPr>
          <w:lang w:val="zh-CN"/>
        </w:rPr>
      </w:pPr>
      <w:r>
        <w:rPr>
          <w:rFonts w:hint="eastAsia"/>
          <w:lang w:val="en-US" w:eastAsia="zh-CN"/>
        </w:rPr>
        <w:t>3</w:t>
      </w:r>
      <w:r>
        <w:rPr>
          <w:lang w:val="zh-CN"/>
        </w:rPr>
        <w:t>）公告土地权属调整方案</w:t>
      </w:r>
    </w:p>
    <w:p w14:paraId="55236B8F">
      <w:pPr>
        <w:bidi w:val="0"/>
        <w:rPr>
          <w:lang w:val="zh-CN"/>
        </w:rPr>
      </w:pPr>
      <w:r>
        <w:rPr>
          <w:lang w:val="zh-CN"/>
        </w:rPr>
        <w:t>由权属领导小组组织存在纠纷村商讨之后，确定土地权属调整方案，公告于项目区所涉村，公告内容包括项目涉及纠纷村名称、需要调整的范围、调整的办法</w:t>
      </w:r>
      <w:r>
        <w:rPr>
          <w:rFonts w:hint="eastAsia"/>
          <w:lang w:val="zh-CN"/>
        </w:rPr>
        <w:t>，以及</w:t>
      </w:r>
      <w:r>
        <w:rPr>
          <w:lang w:val="zh-CN"/>
        </w:rPr>
        <w:t>调整后的状况，公告期为15天。对权属调整方案有异议的土地所有权人、使用权人，可于公告期内书面提出，经协商不能解决的，争议由各乡镇人民政府调处。项目区内农民对土地承包经营权调整有异议的，可在公告期内向所在村集体经济组织或各乡镇人民政府提出，争议由所在村集体经济组织或各乡镇人民政府调处。</w:t>
      </w:r>
    </w:p>
    <w:p w14:paraId="3A89FF0D">
      <w:pPr>
        <w:bidi w:val="0"/>
        <w:rPr>
          <w:lang w:val="zh-CN"/>
        </w:rPr>
      </w:pPr>
      <w:r>
        <w:rPr>
          <w:lang w:val="zh-CN"/>
        </w:rPr>
        <w:t>土地权属调整经公告并征求意见后，报</w:t>
      </w:r>
      <w:r>
        <w:rPr>
          <w:rFonts w:hint="eastAsia"/>
          <w:lang w:val="en-US" w:eastAsia="zh-CN"/>
        </w:rPr>
        <w:t>昌江</w:t>
      </w:r>
      <w:r>
        <w:rPr>
          <w:rFonts w:hint="eastAsia"/>
          <w:lang w:val="zh-CN"/>
        </w:rPr>
        <w:t>区</w:t>
      </w:r>
      <w:r>
        <w:rPr>
          <w:lang w:val="zh-CN"/>
        </w:rPr>
        <w:t>人民政府批准。</w:t>
      </w:r>
    </w:p>
    <w:p w14:paraId="1415D7CD">
      <w:pPr>
        <w:bidi w:val="0"/>
        <w:rPr>
          <w:lang w:val="zh-CN"/>
        </w:rPr>
      </w:pPr>
      <w:r>
        <w:rPr>
          <w:rFonts w:hint="eastAsia"/>
          <w:lang w:val="en-US" w:eastAsia="zh-CN"/>
        </w:rPr>
        <w:t>4</w:t>
      </w:r>
      <w:r>
        <w:rPr>
          <w:lang w:val="zh-CN"/>
        </w:rPr>
        <w:t>）停止变更土地利用现状</w:t>
      </w:r>
    </w:p>
    <w:p w14:paraId="328ADA8E">
      <w:pPr>
        <w:bidi w:val="0"/>
        <w:rPr>
          <w:lang w:val="zh-CN"/>
        </w:rPr>
      </w:pPr>
      <w:r>
        <w:rPr>
          <w:lang w:val="zh-CN"/>
        </w:rPr>
        <w:t>项目一经批准，</w:t>
      </w:r>
      <w:r>
        <w:rPr>
          <w:rFonts w:hint="eastAsia"/>
          <w:lang w:val="en-US" w:eastAsia="zh-CN"/>
        </w:rPr>
        <w:t>昌江</w:t>
      </w:r>
      <w:r>
        <w:rPr>
          <w:rFonts w:hint="eastAsia"/>
          <w:lang w:val="zh-CN"/>
        </w:rPr>
        <w:t>区</w:t>
      </w:r>
      <w:r>
        <w:rPr>
          <w:lang w:val="zh-CN"/>
        </w:rPr>
        <w:t>农业农村管理部门协同</w:t>
      </w:r>
      <w:r>
        <w:rPr>
          <w:rFonts w:hint="eastAsia"/>
          <w:lang w:val="en-US" w:eastAsia="zh-CN"/>
        </w:rPr>
        <w:t>昌江</w:t>
      </w:r>
      <w:r>
        <w:rPr>
          <w:rFonts w:hint="eastAsia"/>
          <w:lang w:val="zh-CN"/>
        </w:rPr>
        <w:t>区</w:t>
      </w:r>
      <w:r>
        <w:rPr>
          <w:lang w:val="zh-CN"/>
        </w:rPr>
        <w:t>自然资源管理部门在本项目批准后至土地权属调整完成前进行公告，停止办理土地权利转移、抵押等登记手续，禁止任何改变土地利用现状的行为，并在项目实施过程中认真检查核实公告内容执行情况。</w:t>
      </w:r>
    </w:p>
    <w:p w14:paraId="1ECF6B5A">
      <w:pPr>
        <w:bidi w:val="0"/>
        <w:rPr>
          <w:lang w:val="zh-CN"/>
        </w:rPr>
      </w:pPr>
      <w:r>
        <w:rPr>
          <w:rFonts w:hint="eastAsia"/>
          <w:lang w:val="en-US" w:eastAsia="zh-CN"/>
        </w:rPr>
        <w:t>5</w:t>
      </w:r>
      <w:r>
        <w:rPr>
          <w:lang w:val="zh-CN"/>
        </w:rPr>
        <w:t>）办理土地变更登记</w:t>
      </w:r>
    </w:p>
    <w:p w14:paraId="305FEAA3">
      <w:pPr>
        <w:bidi w:val="0"/>
        <w:rPr>
          <w:lang w:val="zh-CN"/>
        </w:rPr>
      </w:pPr>
      <w:r>
        <w:rPr>
          <w:lang w:val="zh-CN"/>
        </w:rPr>
        <w:t>项目竣工后，按照经批准的土地权属调整方案，公平、合理地分配土地权益，并重新确定土地所有权、承包经营权。由</w:t>
      </w:r>
      <w:r>
        <w:rPr>
          <w:rFonts w:hint="eastAsia"/>
          <w:lang w:val="en-US" w:eastAsia="zh-CN"/>
        </w:rPr>
        <w:t>昌江</w:t>
      </w:r>
      <w:r>
        <w:rPr>
          <w:rFonts w:hint="eastAsia"/>
          <w:lang w:val="zh-CN"/>
        </w:rPr>
        <w:t>区</w:t>
      </w:r>
      <w:r>
        <w:rPr>
          <w:lang w:val="zh-CN"/>
        </w:rPr>
        <w:t>自然资源局进行土地变更调查和土地变更登记，建立新的地籍档案，并妥善保管有关土地登记资料。</w:t>
      </w:r>
    </w:p>
    <w:p w14:paraId="63270F07">
      <w:pPr>
        <w:pStyle w:val="5"/>
        <w:bidi w:val="0"/>
        <w:rPr>
          <w:lang w:val="zh-CN"/>
        </w:rPr>
      </w:pPr>
      <w:r>
        <w:rPr>
          <w:rFonts w:hint="eastAsia"/>
          <w:lang w:val="en-US" w:eastAsia="zh-CN"/>
        </w:rPr>
        <w:t xml:space="preserve">2.1.2.4 </w:t>
      </w:r>
      <w:r>
        <w:rPr>
          <w:lang w:val="zh-CN"/>
        </w:rPr>
        <w:t>土地权属调整的结果</w:t>
      </w:r>
    </w:p>
    <w:p w14:paraId="797FCA06">
      <w:pPr>
        <w:bidi w:val="0"/>
        <w:rPr>
          <w:lang w:val="zh-CN"/>
        </w:rPr>
      </w:pPr>
      <w:r>
        <w:rPr>
          <w:rFonts w:hint="eastAsia"/>
          <w:lang w:val="en-US" w:eastAsia="zh-CN"/>
        </w:rPr>
        <w:t>1</w:t>
      </w:r>
      <w:r>
        <w:rPr>
          <w:lang w:val="zh-CN"/>
        </w:rPr>
        <w:t>）因田块归并和道路、沟渠重新规划需要调整不同土地所有者边界的，要充分尊重相关权利人的意愿，应在各相关权利人协商的基础上重新勘定地界；土地所有权和承包经营权的调整不得造成相关权利人的利益损失；土地所有权和承包经营权的调整应在各有关权利人协商一致的基础上进行。</w:t>
      </w:r>
    </w:p>
    <w:p w14:paraId="5564E37C">
      <w:pPr>
        <w:bidi w:val="0"/>
        <w:rPr>
          <w:lang w:val="zh-CN"/>
        </w:rPr>
      </w:pPr>
      <w:r>
        <w:rPr>
          <w:rFonts w:hint="eastAsia"/>
          <w:lang w:val="en-US" w:eastAsia="zh-CN"/>
        </w:rPr>
        <w:t>2</w:t>
      </w:r>
      <w:r>
        <w:rPr>
          <w:lang w:val="zh-CN"/>
        </w:rPr>
        <w:t>）部分耕地在项目建设完工后土地位置和范围发生改变时，在土地权属调</w:t>
      </w:r>
      <w:r>
        <w:rPr>
          <w:rFonts w:hint="eastAsia"/>
          <w:lang w:val="zh-CN"/>
        </w:rPr>
        <w:t>整中</w:t>
      </w:r>
      <w:r>
        <w:rPr>
          <w:lang w:val="zh-CN"/>
        </w:rPr>
        <w:t>要遵循数量相等、质量相当的原则，根据土地质量和面积进行等量置换，保证项目区内土地权利人的土地权益不受损失。</w:t>
      </w:r>
    </w:p>
    <w:p w14:paraId="5F76BDB6">
      <w:pPr>
        <w:bidi w:val="0"/>
        <w:rPr>
          <w:lang w:val="zh-CN"/>
        </w:rPr>
      </w:pPr>
      <w:r>
        <w:rPr>
          <w:rFonts w:hint="eastAsia"/>
          <w:lang w:val="en-US" w:eastAsia="zh-CN"/>
        </w:rPr>
        <w:t>3</w:t>
      </w:r>
      <w:r>
        <w:rPr>
          <w:lang w:val="zh-CN"/>
        </w:rPr>
        <w:t>）参与高标准农田建设各方之间的飞地、插花地及交界处的不规则区域，应在各方协商的基础上，根据路、渠等线状地物适当调整，尽量减少飞地、插花地和宗地数量；村中同一承包人有若干地块时，面积小者应尽量向面积大者集中，以利于农业机械化操作和田间灌排。这样既可以有利生产、方便生活，又能促进土地规模化、集约化经营。</w:t>
      </w:r>
    </w:p>
    <w:p w14:paraId="15A915C1">
      <w:pPr>
        <w:pStyle w:val="5"/>
        <w:bidi w:val="0"/>
        <w:rPr>
          <w:lang w:val="zh-CN"/>
        </w:rPr>
      </w:pPr>
      <w:r>
        <w:rPr>
          <w:rFonts w:hint="eastAsia"/>
          <w:lang w:val="en-US" w:eastAsia="zh-CN"/>
        </w:rPr>
        <w:t xml:space="preserve">2.1.2.5 </w:t>
      </w:r>
      <w:r>
        <w:rPr>
          <w:lang w:val="zh-CN"/>
        </w:rPr>
        <w:t>土地权属调整异议处理</w:t>
      </w:r>
    </w:p>
    <w:p w14:paraId="7F9F7F75">
      <w:pPr>
        <w:bidi w:val="0"/>
      </w:pPr>
      <w:r>
        <w:rPr>
          <w:rFonts w:hint="eastAsia"/>
          <w:lang w:val="en-US" w:eastAsia="zh-CN"/>
        </w:rPr>
        <w:t>昌江</w:t>
      </w:r>
      <w:r>
        <w:rPr>
          <w:rFonts w:hint="eastAsia"/>
          <w:lang w:val="zh-CN"/>
        </w:rPr>
        <w:t>区</w:t>
      </w:r>
      <w:r>
        <w:rPr>
          <w:lang w:val="zh-CN"/>
        </w:rPr>
        <w:t>农业农村管理部门协同</w:t>
      </w:r>
      <w:r>
        <w:rPr>
          <w:rFonts w:hint="eastAsia"/>
          <w:lang w:val="en-US" w:eastAsia="zh-CN"/>
        </w:rPr>
        <w:t>昌江</w:t>
      </w:r>
      <w:r>
        <w:rPr>
          <w:rFonts w:hint="eastAsia"/>
          <w:lang w:val="zh-CN"/>
        </w:rPr>
        <w:t>区</w:t>
      </w:r>
      <w:r>
        <w:rPr>
          <w:lang w:val="zh-CN"/>
        </w:rPr>
        <w:t>自然资源管理部门将权属调整方案予以公告，在公告期内，对土地所有权和承包经营权调整方案的异议，经协商后仍不能解决的，由乡（镇）或</w:t>
      </w:r>
      <w:r>
        <w:rPr>
          <w:rFonts w:hint="eastAsia"/>
          <w:lang w:val="zh-CN"/>
        </w:rPr>
        <w:t>市</w:t>
      </w:r>
      <w:r>
        <w:rPr>
          <w:lang w:val="zh-CN"/>
        </w:rPr>
        <w:t>级人民政府调处；对土地承包经营权调整方案有异议的，应向村委会、乡（镇）人民政府提出，由村委会、乡（镇）人民政府调处；对于其他权利调整的异议，以当事人协商解决为主，村和乡（镇）调解为辅。公告期满，若公众对方案提出的意见分歧较大，则对权属调整方案修改后再次公告征求意见，以提高方案的可操作性。</w:t>
      </w:r>
    </w:p>
    <w:p w14:paraId="50BA1250">
      <w:pPr>
        <w:pStyle w:val="4"/>
        <w:bidi w:val="0"/>
        <w:rPr>
          <w:rFonts w:hint="eastAsia"/>
          <w:lang w:val="en-US" w:eastAsia="zh-CN"/>
        </w:rPr>
      </w:pPr>
      <w:r>
        <w:rPr>
          <w:rFonts w:hint="eastAsia"/>
          <w:lang w:val="en-US" w:eastAsia="zh-CN"/>
        </w:rPr>
        <w:t>2.1.3 新增耕地及旱地改水田潜力分析与评价</w:t>
      </w:r>
    </w:p>
    <w:p w14:paraId="273461E0">
      <w:pPr>
        <w:rPr>
          <w:rFonts w:hint="eastAsia"/>
          <w:color w:val="auto"/>
          <w:highlight w:val="none"/>
          <w:lang w:val="en-US" w:eastAsia="zh-CN"/>
        </w:rPr>
      </w:pPr>
      <w:r>
        <w:rPr>
          <w:rFonts w:hint="eastAsia"/>
          <w:color w:val="auto"/>
          <w:highlight w:val="none"/>
          <w:lang w:val="en-US" w:eastAsia="zh-CN"/>
        </w:rPr>
        <w:t>本项目主要对已建高标准农田区域内的基础设施修缮，确保已建工程的稳定运行，不涉及新增耕地及旱改水。</w:t>
      </w:r>
    </w:p>
    <w:p w14:paraId="2E1D2678">
      <w:pPr>
        <w:pStyle w:val="4"/>
        <w:bidi w:val="0"/>
        <w:rPr>
          <w:rFonts w:hint="eastAsia"/>
          <w:lang w:val="en-US" w:eastAsia="zh-CN"/>
        </w:rPr>
      </w:pPr>
      <w:r>
        <w:rPr>
          <w:rFonts w:hint="eastAsia"/>
          <w:lang w:val="en-US" w:eastAsia="zh-CN"/>
        </w:rPr>
        <w:t>2.1.4 耕地资源现状评价</w:t>
      </w:r>
    </w:p>
    <w:p w14:paraId="7C39FF42">
      <w:pPr>
        <w:bidi w:val="0"/>
        <w:rPr>
          <w:rFonts w:hint="eastAsia"/>
          <w:lang w:val="en-US" w:eastAsia="zh-CN"/>
        </w:rPr>
      </w:pPr>
      <w:r>
        <w:rPr>
          <w:rFonts w:hint="eastAsia"/>
          <w:lang w:val="en-US" w:eastAsia="zh-CN"/>
        </w:rPr>
        <w:t>项目建设总面积519.61亩，水田面积519.61亩。项目区耕地资源现状较好，适宜项目建设。详情见表2.1-1 土地利用现状表。</w:t>
      </w:r>
    </w:p>
    <w:p w14:paraId="505353B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color w:val="auto"/>
          <w:lang w:val="en-US" w:eastAsia="zh-CN"/>
        </w:rPr>
      </w:pPr>
      <w:r>
        <w:rPr>
          <w:rFonts w:hint="eastAsia"/>
          <w:color w:val="auto"/>
          <w:lang w:val="en-US" w:eastAsia="zh-CN"/>
        </w:rPr>
        <w:t>表2.1-1 土地利用现状表</w:t>
      </w:r>
    </w:p>
    <w:tbl>
      <w:tblPr>
        <w:tblStyle w:val="17"/>
        <w:tblW w:w="1063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66"/>
        <w:gridCol w:w="1476"/>
        <w:gridCol w:w="960"/>
        <w:gridCol w:w="960"/>
        <w:gridCol w:w="960"/>
        <w:gridCol w:w="960"/>
        <w:gridCol w:w="960"/>
        <w:gridCol w:w="960"/>
        <w:gridCol w:w="1044"/>
        <w:gridCol w:w="1084"/>
      </w:tblGrid>
      <w:tr w14:paraId="2B0F9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742"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6AB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类别名称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0E7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丽阳村</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CB7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联村村</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17A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凤岗村</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8C2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关山村</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C6D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新柳村</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81E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鱼山村</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31D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总计</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433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占总面的比例</w:t>
            </w:r>
          </w:p>
        </w:tc>
      </w:tr>
      <w:tr w14:paraId="5E1A9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12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67F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一级类</w:t>
            </w:r>
          </w:p>
        </w:tc>
        <w:tc>
          <w:tcPr>
            <w:tcW w:w="14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57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二级类</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8A2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9B0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D66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744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3F8D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04B8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AD6F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r>
              <w:rPr>
                <w:rFonts w:hint="eastAsia"/>
                <w:lang w:val="en-US" w:eastAsia="zh-CN"/>
              </w:rPr>
              <w:t>亩</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B84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r>
      <w:tr w14:paraId="2896B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126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E9F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耕地（01）</w:t>
            </w:r>
          </w:p>
        </w:tc>
        <w:tc>
          <w:tcPr>
            <w:tcW w:w="14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39F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水田（0101）</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3ED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131.4</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C9B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105.12</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28C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84.41</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976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85.79</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77F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59.25</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A6B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53.64</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78D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519.61</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63E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100.00%</w:t>
            </w:r>
          </w:p>
        </w:tc>
      </w:tr>
      <w:tr w14:paraId="57ABD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126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825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1A9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小计</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473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131.4</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863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105.12</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0C9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84.41</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C71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85.79</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7C5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59.25</w:t>
            </w:r>
          </w:p>
        </w:tc>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D8B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53.64</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D35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519.61</w:t>
            </w:r>
          </w:p>
        </w:tc>
        <w:tc>
          <w:tcPr>
            <w:tcW w:w="10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1F0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100.00%</w:t>
            </w:r>
          </w:p>
        </w:tc>
      </w:tr>
    </w:tbl>
    <w:p w14:paraId="1A3554DF">
      <w:pPr>
        <w:rPr>
          <w:rFonts w:hint="eastAsia"/>
          <w:lang w:val="en-US" w:eastAsia="zh-CN"/>
        </w:rPr>
      </w:pPr>
      <w:r>
        <w:rPr>
          <w:rFonts w:hint="eastAsia"/>
          <w:lang w:val="en-US" w:eastAsia="zh-CN"/>
        </w:rPr>
        <w:br w:type="page"/>
      </w:r>
    </w:p>
    <w:p w14:paraId="08998BAE">
      <w:pPr>
        <w:pStyle w:val="3"/>
        <w:bidi w:val="0"/>
      </w:pPr>
      <w:bookmarkStart w:id="29" w:name="_Toc23342"/>
      <w:r>
        <w:rPr>
          <w:rFonts w:hint="eastAsia"/>
          <w:lang w:val="en-US" w:eastAsia="zh-CN"/>
        </w:rPr>
        <w:t xml:space="preserve">2.2 </w:t>
      </w:r>
      <w:r>
        <w:t>水资源供需平衡分析</w:t>
      </w:r>
      <w:bookmarkEnd w:id="29"/>
    </w:p>
    <w:p w14:paraId="278B5C34">
      <w:pPr>
        <w:pStyle w:val="4"/>
        <w:bidi w:val="0"/>
      </w:pPr>
      <w:r>
        <w:rPr>
          <w:rFonts w:hint="eastAsia"/>
          <w:lang w:val="en-US" w:eastAsia="zh-CN"/>
        </w:rPr>
        <w:t xml:space="preserve">2.2.1 </w:t>
      </w:r>
      <w:r>
        <w:t>项目区水资源概况</w:t>
      </w:r>
    </w:p>
    <w:p w14:paraId="59323855">
      <w:pPr>
        <w:bidi w:val="0"/>
        <w:rPr>
          <w:rFonts w:hint="eastAsia" w:eastAsia="宋体"/>
          <w:lang w:eastAsia="zh-CN"/>
        </w:rPr>
      </w:pPr>
      <w:r>
        <w:t>昌江区地处赣东北丘陵地带，全域隶属于长江流域 — 鄱阳湖水系 — 昌江水系，降水充沛、地表径流丰富，但时空分布极不均衡；以昌江干流为核心供水水源，水库山塘调蓄配套完善，整体水资源总量充裕。项目区粮食作物主要是水稻。</w:t>
      </w:r>
      <w:r>
        <w:rPr>
          <w:rFonts w:hint="eastAsia"/>
          <w:lang w:eastAsia="zh-CN"/>
        </w:rPr>
        <w:t>全区地表径流量多年平均值为3.306亿m</w:t>
      </w:r>
      <w:r>
        <w:rPr>
          <w:rFonts w:hint="eastAsia"/>
          <w:vertAlign w:val="superscript"/>
          <w:lang w:eastAsia="zh-CN"/>
        </w:rPr>
        <w:t>3</w:t>
      </w:r>
      <w:r>
        <w:rPr>
          <w:rFonts w:hint="eastAsia"/>
          <w:lang w:eastAsia="zh-CN"/>
        </w:rPr>
        <w:t>，地下径流量为0.548亿m</w:t>
      </w:r>
      <w:r>
        <w:rPr>
          <w:rFonts w:hint="eastAsia"/>
          <w:vertAlign w:val="superscript"/>
          <w:lang w:eastAsia="zh-CN"/>
        </w:rPr>
        <w:t>3</w:t>
      </w:r>
      <w:r>
        <w:rPr>
          <w:rFonts w:hint="eastAsia"/>
          <w:lang w:eastAsia="zh-CN"/>
        </w:rPr>
        <w:t>，还有昌江河、南河、西河流经我区，入境的水都为客水，多年平均入境客水为43亿m</w:t>
      </w:r>
      <w:r>
        <w:rPr>
          <w:rFonts w:hint="eastAsia"/>
          <w:vertAlign w:val="superscript"/>
          <w:lang w:eastAsia="zh-CN"/>
        </w:rPr>
        <w:t>3</w:t>
      </w:r>
      <w:r>
        <w:rPr>
          <w:rFonts w:hint="eastAsia"/>
          <w:lang w:eastAsia="zh-CN"/>
        </w:rPr>
        <w:t>，而可控用水量为0.4亿m</w:t>
      </w:r>
      <w:r>
        <w:rPr>
          <w:rFonts w:hint="eastAsia"/>
          <w:vertAlign w:val="superscript"/>
          <w:lang w:eastAsia="zh-CN"/>
        </w:rPr>
        <w:t>3</w:t>
      </w:r>
      <w:r>
        <w:rPr>
          <w:rFonts w:hint="eastAsia"/>
          <w:lang w:eastAsia="zh-CN"/>
        </w:rPr>
        <w:t>，以上述水资源量为我区水资源总量，全区水资源总量为4.254亿m</w:t>
      </w:r>
      <w:r>
        <w:rPr>
          <w:rFonts w:hint="eastAsia"/>
          <w:vertAlign w:val="superscript"/>
          <w:lang w:eastAsia="zh-CN"/>
        </w:rPr>
        <w:t>3</w:t>
      </w:r>
      <w:r>
        <w:rPr>
          <w:rFonts w:hint="eastAsia"/>
          <w:lang w:eastAsia="zh-CN"/>
        </w:rPr>
        <w:t>。其中地表水资源量3.706亿m</w:t>
      </w:r>
      <w:r>
        <w:rPr>
          <w:rFonts w:hint="eastAsia"/>
          <w:vertAlign w:val="superscript"/>
          <w:lang w:eastAsia="zh-CN"/>
        </w:rPr>
        <w:t>3</w:t>
      </w:r>
      <w:r>
        <w:rPr>
          <w:rFonts w:hint="eastAsia"/>
          <w:lang w:eastAsia="zh-CN"/>
        </w:rPr>
        <w:t>，地下水资源量0.548亿m</w:t>
      </w:r>
      <w:r>
        <w:rPr>
          <w:rFonts w:hint="eastAsia"/>
          <w:vertAlign w:val="superscript"/>
          <w:lang w:eastAsia="zh-CN"/>
        </w:rPr>
        <w:t>3</w:t>
      </w:r>
      <w:r>
        <w:rPr>
          <w:rFonts w:hint="eastAsia"/>
          <w:lang w:eastAsia="zh-CN"/>
        </w:rPr>
        <w:t>。</w:t>
      </w:r>
    </w:p>
    <w:p w14:paraId="38FA9386">
      <w:pPr>
        <w:pStyle w:val="4"/>
        <w:bidi w:val="0"/>
      </w:pPr>
      <w:r>
        <w:rPr>
          <w:rFonts w:hint="eastAsia"/>
          <w:lang w:val="en-US" w:eastAsia="zh-CN"/>
        </w:rPr>
        <w:t xml:space="preserve">2.2.2 </w:t>
      </w:r>
      <w:r>
        <w:t>项目区灌溉设计保证率和灌溉定额</w:t>
      </w:r>
    </w:p>
    <w:p w14:paraId="73DBD2CB">
      <w:pPr>
        <w:bidi w:val="0"/>
        <w:rPr>
          <w:rFonts w:hint="default"/>
        </w:rPr>
      </w:pPr>
      <w:r>
        <w:rPr>
          <w:rFonts w:hint="eastAsia"/>
          <w:lang w:val="en-US" w:eastAsia="zh-CN"/>
        </w:rPr>
        <w:t>（1）</w:t>
      </w:r>
      <w:r>
        <w:rPr>
          <w:rFonts w:hint="default"/>
        </w:rPr>
        <w:t>灌溉定额的确定</w:t>
      </w:r>
    </w:p>
    <w:p w14:paraId="513565A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lang w:val="en-US" w:eastAsia="zh-CN"/>
        </w:rPr>
      </w:pPr>
      <w:bookmarkStart w:id="30" w:name="_Toc291532709"/>
      <w:bookmarkStart w:id="31" w:name="_Toc291531906"/>
      <w:bookmarkStart w:id="32" w:name="_Toc291533959"/>
      <w:bookmarkStart w:id="33" w:name="_Toc291536416"/>
      <w:r>
        <w:rPr>
          <w:rFonts w:hint="default"/>
          <w:lang w:val="en-US" w:eastAsia="zh-CN"/>
        </w:rPr>
        <w:t>表</w:t>
      </w:r>
      <w:r>
        <w:rPr>
          <w:rFonts w:hint="eastAsia"/>
          <w:lang w:val="en-US" w:eastAsia="zh-CN"/>
        </w:rPr>
        <w:t>2.2</w:t>
      </w:r>
      <w:r>
        <w:rPr>
          <w:rFonts w:hint="default"/>
          <w:lang w:val="en-US" w:eastAsia="zh-CN"/>
        </w:rPr>
        <w:t>-</w:t>
      </w:r>
      <w:r>
        <w:rPr>
          <w:rFonts w:hint="eastAsia"/>
          <w:lang w:val="en-US" w:eastAsia="zh-CN"/>
        </w:rPr>
        <w:t>2</w:t>
      </w:r>
      <w:r>
        <w:rPr>
          <w:rFonts w:hint="default"/>
          <w:lang w:val="en-US" w:eastAsia="zh-CN"/>
        </w:rPr>
        <w:t xml:space="preserve"> 农业灌溉分区</w:t>
      </w:r>
      <w:bookmarkEnd w:id="30"/>
      <w:bookmarkEnd w:id="31"/>
      <w:bookmarkEnd w:id="32"/>
      <w:bookmarkEnd w:id="33"/>
    </w:p>
    <w:tbl>
      <w:tblPr>
        <w:tblStyle w:val="17"/>
        <w:tblpPr w:leftFromText="180" w:rightFromText="180" w:vertAnchor="text" w:tblpXSpec="center" w:tblpY="1"/>
        <w:tblOverlap w:val="never"/>
        <w:tblW w:w="681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19"/>
        <w:gridCol w:w="2379"/>
        <w:gridCol w:w="2015"/>
        <w:gridCol w:w="1886"/>
        <w:gridCol w:w="2411"/>
        <w:gridCol w:w="1659"/>
      </w:tblGrid>
      <w:tr w14:paraId="41BE4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48" w:type="pct"/>
            <w:noWrap w:val="0"/>
            <w:tcMar>
              <w:top w:w="15" w:type="dxa"/>
              <w:left w:w="15" w:type="dxa"/>
              <w:bottom w:w="0" w:type="dxa"/>
              <w:right w:w="15" w:type="dxa"/>
            </w:tcMar>
            <w:vAlign w:val="center"/>
          </w:tcPr>
          <w:p w14:paraId="3A151D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分区号</w:t>
            </w:r>
          </w:p>
        </w:tc>
        <w:tc>
          <w:tcPr>
            <w:tcW w:w="1046" w:type="pct"/>
            <w:noWrap w:val="0"/>
            <w:tcMar>
              <w:top w:w="15" w:type="dxa"/>
              <w:left w:w="15" w:type="dxa"/>
              <w:bottom w:w="0" w:type="dxa"/>
              <w:right w:w="15" w:type="dxa"/>
            </w:tcMar>
            <w:vAlign w:val="center"/>
          </w:tcPr>
          <w:p w14:paraId="608FA6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I区</w:t>
            </w:r>
          </w:p>
        </w:tc>
        <w:tc>
          <w:tcPr>
            <w:tcW w:w="886" w:type="pct"/>
            <w:noWrap w:val="0"/>
            <w:tcMar>
              <w:top w:w="15" w:type="dxa"/>
              <w:left w:w="15" w:type="dxa"/>
              <w:bottom w:w="0" w:type="dxa"/>
              <w:right w:w="15" w:type="dxa"/>
            </w:tcMar>
            <w:vAlign w:val="center"/>
          </w:tcPr>
          <w:p w14:paraId="38FB46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II区</w:t>
            </w:r>
          </w:p>
        </w:tc>
        <w:tc>
          <w:tcPr>
            <w:tcW w:w="829" w:type="pct"/>
            <w:noWrap w:val="0"/>
            <w:tcMar>
              <w:top w:w="15" w:type="dxa"/>
              <w:left w:w="15" w:type="dxa"/>
              <w:bottom w:w="0" w:type="dxa"/>
              <w:right w:w="15" w:type="dxa"/>
            </w:tcMar>
            <w:vAlign w:val="center"/>
          </w:tcPr>
          <w:p w14:paraId="5115AC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III区</w:t>
            </w:r>
          </w:p>
        </w:tc>
        <w:tc>
          <w:tcPr>
            <w:tcW w:w="1060" w:type="pct"/>
            <w:noWrap w:val="0"/>
            <w:tcMar>
              <w:top w:w="15" w:type="dxa"/>
              <w:left w:w="15" w:type="dxa"/>
              <w:bottom w:w="0" w:type="dxa"/>
              <w:right w:w="15" w:type="dxa"/>
            </w:tcMar>
            <w:vAlign w:val="center"/>
          </w:tcPr>
          <w:p w14:paraId="6B9F20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IV区</w:t>
            </w:r>
          </w:p>
        </w:tc>
        <w:tc>
          <w:tcPr>
            <w:tcW w:w="729" w:type="pct"/>
            <w:noWrap w:val="0"/>
            <w:tcMar>
              <w:top w:w="15" w:type="dxa"/>
              <w:left w:w="15" w:type="dxa"/>
              <w:bottom w:w="0" w:type="dxa"/>
              <w:right w:w="15" w:type="dxa"/>
            </w:tcMar>
            <w:vAlign w:val="center"/>
          </w:tcPr>
          <w:p w14:paraId="5C1D30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V区</w:t>
            </w:r>
          </w:p>
        </w:tc>
      </w:tr>
      <w:tr w14:paraId="3E57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48" w:type="pct"/>
            <w:noWrap w:val="0"/>
            <w:tcMar>
              <w:top w:w="15" w:type="dxa"/>
              <w:left w:w="15" w:type="dxa"/>
              <w:bottom w:w="0" w:type="dxa"/>
              <w:right w:w="15" w:type="dxa"/>
            </w:tcMar>
            <w:vAlign w:val="center"/>
          </w:tcPr>
          <w:p w14:paraId="36DF27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分区</w:t>
            </w:r>
          </w:p>
        </w:tc>
        <w:tc>
          <w:tcPr>
            <w:tcW w:w="1046" w:type="pct"/>
            <w:noWrap w:val="0"/>
            <w:tcMar>
              <w:top w:w="15" w:type="dxa"/>
              <w:left w:w="15" w:type="dxa"/>
              <w:bottom w:w="0" w:type="dxa"/>
              <w:right w:w="15" w:type="dxa"/>
            </w:tcMar>
            <w:vAlign w:val="center"/>
          </w:tcPr>
          <w:p w14:paraId="61531B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鄱阳湖区</w:t>
            </w:r>
          </w:p>
        </w:tc>
        <w:tc>
          <w:tcPr>
            <w:tcW w:w="886" w:type="pct"/>
            <w:noWrap w:val="0"/>
            <w:tcMar>
              <w:top w:w="15" w:type="dxa"/>
              <w:left w:w="15" w:type="dxa"/>
              <w:bottom w:w="0" w:type="dxa"/>
              <w:right w:w="15" w:type="dxa"/>
            </w:tcMar>
            <w:vAlign w:val="center"/>
          </w:tcPr>
          <w:p w14:paraId="5237DC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赣</w:t>
            </w:r>
            <w:r>
              <w:rPr>
                <w:rFonts w:hint="eastAsia" w:ascii="宋体" w:hAnsi="宋体" w:cs="宋体"/>
                <w:color w:val="auto"/>
                <w:sz w:val="18"/>
                <w:szCs w:val="18"/>
                <w:lang w:val="en-US" w:eastAsia="zh-CN"/>
              </w:rPr>
              <w:t>东</w:t>
            </w:r>
            <w:r>
              <w:rPr>
                <w:rFonts w:hint="eastAsia" w:ascii="宋体" w:hAnsi="宋体" w:eastAsia="宋体" w:cs="宋体"/>
                <w:color w:val="auto"/>
                <w:sz w:val="18"/>
                <w:szCs w:val="18"/>
              </w:rPr>
              <w:t>北区</w:t>
            </w:r>
          </w:p>
        </w:tc>
        <w:tc>
          <w:tcPr>
            <w:tcW w:w="829" w:type="pct"/>
            <w:noWrap w:val="0"/>
            <w:tcMar>
              <w:top w:w="15" w:type="dxa"/>
              <w:left w:w="15" w:type="dxa"/>
              <w:bottom w:w="0" w:type="dxa"/>
              <w:right w:w="15" w:type="dxa"/>
            </w:tcMar>
            <w:vAlign w:val="center"/>
          </w:tcPr>
          <w:p w14:paraId="64BD19F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赣</w:t>
            </w:r>
            <w:r>
              <w:rPr>
                <w:rFonts w:hint="eastAsia" w:ascii="宋体" w:hAnsi="宋体" w:cs="宋体"/>
                <w:color w:val="auto"/>
                <w:sz w:val="18"/>
                <w:szCs w:val="18"/>
                <w:lang w:val="en-US" w:eastAsia="zh-CN"/>
              </w:rPr>
              <w:t>西北</w:t>
            </w:r>
            <w:r>
              <w:rPr>
                <w:rFonts w:hint="eastAsia" w:ascii="宋体" w:hAnsi="宋体" w:eastAsia="宋体" w:cs="宋体"/>
                <w:color w:val="auto"/>
                <w:sz w:val="18"/>
                <w:szCs w:val="18"/>
              </w:rPr>
              <w:t>区</w:t>
            </w:r>
          </w:p>
        </w:tc>
        <w:tc>
          <w:tcPr>
            <w:tcW w:w="1060" w:type="pct"/>
            <w:noWrap w:val="0"/>
            <w:tcMar>
              <w:top w:w="15" w:type="dxa"/>
              <w:left w:w="15" w:type="dxa"/>
              <w:bottom w:w="0" w:type="dxa"/>
              <w:right w:w="15" w:type="dxa"/>
            </w:tcMar>
            <w:vAlign w:val="center"/>
          </w:tcPr>
          <w:p w14:paraId="56B998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赣</w:t>
            </w:r>
            <w:r>
              <w:rPr>
                <w:rFonts w:hint="eastAsia" w:ascii="宋体" w:hAnsi="宋体" w:cs="宋体"/>
                <w:color w:val="auto"/>
                <w:sz w:val="18"/>
                <w:szCs w:val="18"/>
                <w:lang w:val="en-US" w:eastAsia="zh-CN"/>
              </w:rPr>
              <w:t>中</w:t>
            </w:r>
            <w:r>
              <w:rPr>
                <w:rFonts w:hint="eastAsia" w:ascii="宋体" w:hAnsi="宋体" w:eastAsia="宋体" w:cs="宋体"/>
                <w:color w:val="auto"/>
                <w:sz w:val="18"/>
                <w:szCs w:val="18"/>
              </w:rPr>
              <w:t>区</w:t>
            </w:r>
          </w:p>
        </w:tc>
        <w:tc>
          <w:tcPr>
            <w:tcW w:w="729" w:type="pct"/>
            <w:noWrap w:val="0"/>
            <w:tcMar>
              <w:top w:w="15" w:type="dxa"/>
              <w:left w:w="15" w:type="dxa"/>
              <w:bottom w:w="0" w:type="dxa"/>
              <w:right w:w="15" w:type="dxa"/>
            </w:tcMar>
            <w:vAlign w:val="center"/>
          </w:tcPr>
          <w:p w14:paraId="39C57B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r>
              <w:rPr>
                <w:rFonts w:hint="eastAsia" w:ascii="宋体" w:hAnsi="宋体" w:eastAsia="宋体" w:cs="宋体"/>
                <w:color w:val="auto"/>
                <w:sz w:val="18"/>
                <w:szCs w:val="18"/>
              </w:rPr>
              <w:t>赣</w:t>
            </w:r>
            <w:r>
              <w:rPr>
                <w:rFonts w:hint="eastAsia" w:ascii="宋体" w:hAnsi="宋体" w:eastAsia="宋体" w:cs="宋体"/>
                <w:color w:val="auto"/>
                <w:sz w:val="18"/>
                <w:szCs w:val="18"/>
                <w:lang w:val="en-US" w:eastAsia="zh-CN"/>
              </w:rPr>
              <w:t>南</w:t>
            </w:r>
            <w:r>
              <w:rPr>
                <w:rFonts w:hint="eastAsia" w:ascii="宋体" w:hAnsi="宋体" w:eastAsia="宋体" w:cs="宋体"/>
                <w:color w:val="auto"/>
                <w:sz w:val="18"/>
                <w:szCs w:val="18"/>
              </w:rPr>
              <w:t>区</w:t>
            </w:r>
          </w:p>
        </w:tc>
      </w:tr>
      <w:tr w14:paraId="20A76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48" w:type="pct"/>
            <w:noWrap w:val="0"/>
            <w:tcMar>
              <w:top w:w="15" w:type="dxa"/>
              <w:left w:w="15" w:type="dxa"/>
              <w:bottom w:w="0" w:type="dxa"/>
              <w:right w:w="15" w:type="dxa"/>
            </w:tcMar>
            <w:vAlign w:val="center"/>
          </w:tcPr>
          <w:p w14:paraId="7EFC10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color w:val="auto"/>
                <w:sz w:val="18"/>
                <w:szCs w:val="18"/>
              </w:rPr>
            </w:pPr>
            <w:bookmarkStart w:id="34" w:name="RANGE!K3"/>
            <w:r>
              <w:rPr>
                <w:rFonts w:hint="eastAsia" w:ascii="宋体" w:hAnsi="宋体" w:eastAsia="宋体" w:cs="宋体"/>
                <w:color w:val="auto"/>
                <w:sz w:val="18"/>
                <w:szCs w:val="18"/>
              </w:rPr>
              <w:t>县（市、区）名称</w:t>
            </w:r>
            <w:bookmarkEnd w:id="34"/>
          </w:p>
        </w:tc>
        <w:tc>
          <w:tcPr>
            <w:tcW w:w="1046" w:type="pct"/>
            <w:noWrap w:val="0"/>
            <w:tcMar>
              <w:top w:w="15" w:type="dxa"/>
              <w:left w:w="15" w:type="dxa"/>
              <w:bottom w:w="0" w:type="dxa"/>
              <w:right w:w="15" w:type="dxa"/>
            </w:tcMar>
            <w:vAlign w:val="top"/>
          </w:tcPr>
          <w:p w14:paraId="6171F241">
            <w:pPr>
              <w:keepNext w:val="0"/>
              <w:keepLines w:val="0"/>
              <w:pageBreakBefore w:val="0"/>
              <w:widowControl w:val="0"/>
              <w:kinsoku/>
              <w:wordWrap/>
              <w:overflowPunct/>
              <w:topLinePunct w:val="0"/>
              <w:autoSpaceDE/>
              <w:autoSpaceDN/>
              <w:bidi w:val="0"/>
              <w:adjustRightInd/>
              <w:snapToGrid/>
              <w:spacing w:line="240" w:lineRule="auto"/>
              <w:ind w:left="0" w:leftChars="0"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九江市：</w:t>
            </w:r>
            <w:r>
              <w:rPr>
                <w:rFonts w:hint="eastAsia" w:ascii="宋体" w:hAnsi="宋体" w:eastAsia="宋体" w:cs="宋体"/>
                <w:color w:val="auto"/>
                <w:sz w:val="18"/>
                <w:szCs w:val="18"/>
              </w:rPr>
              <w:t>濂溪区、浔阳区、柴桑区、庐山市、永修县、德安县、都昌县、湖口县、彭泽县、</w:t>
            </w:r>
            <w:r>
              <w:rPr>
                <w:rFonts w:hint="eastAsia" w:ascii="宋体" w:hAnsi="宋体" w:cs="宋体"/>
                <w:color w:val="auto"/>
                <w:sz w:val="18"/>
                <w:szCs w:val="18"/>
                <w:lang w:val="en-US" w:eastAsia="zh-CN"/>
              </w:rPr>
              <w:t>瑞昌市、</w:t>
            </w:r>
            <w:r>
              <w:rPr>
                <w:rFonts w:hint="eastAsia" w:ascii="宋体" w:hAnsi="宋体" w:eastAsia="宋体" w:cs="宋体"/>
                <w:color w:val="auto"/>
                <w:sz w:val="18"/>
                <w:szCs w:val="18"/>
              </w:rPr>
              <w:t>共青城市。</w:t>
            </w:r>
          </w:p>
          <w:p w14:paraId="2E9F0227">
            <w:pPr>
              <w:keepNext w:val="0"/>
              <w:keepLines w:val="0"/>
              <w:pageBreakBefore w:val="0"/>
              <w:widowControl w:val="0"/>
              <w:kinsoku/>
              <w:wordWrap/>
              <w:overflowPunct/>
              <w:topLinePunct w:val="0"/>
              <w:autoSpaceDE/>
              <w:autoSpaceDN/>
              <w:bidi w:val="0"/>
              <w:adjustRightInd/>
              <w:snapToGrid/>
              <w:spacing w:line="240" w:lineRule="auto"/>
              <w:ind w:left="0" w:leftChars="0"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南昌市：</w:t>
            </w:r>
            <w:r>
              <w:rPr>
                <w:rFonts w:hint="eastAsia" w:ascii="宋体" w:hAnsi="宋体" w:eastAsia="宋体" w:cs="宋体"/>
                <w:color w:val="auto"/>
                <w:sz w:val="18"/>
                <w:szCs w:val="18"/>
              </w:rPr>
              <w:t>东湖区、西湖区、青云谱区、</w:t>
            </w:r>
            <w:r>
              <w:rPr>
                <w:rFonts w:hint="eastAsia" w:ascii="宋体" w:hAnsi="宋体" w:cs="宋体"/>
                <w:color w:val="auto"/>
                <w:sz w:val="18"/>
                <w:szCs w:val="18"/>
                <w:lang w:val="en-US" w:eastAsia="zh-CN"/>
              </w:rPr>
              <w:t>红谷滩区</w:t>
            </w:r>
            <w:r>
              <w:rPr>
                <w:rFonts w:hint="eastAsia" w:ascii="宋体" w:hAnsi="宋体" w:eastAsia="宋体" w:cs="宋体"/>
                <w:color w:val="auto"/>
                <w:sz w:val="18"/>
                <w:szCs w:val="18"/>
              </w:rPr>
              <w:t>、青山湖区、南昌县、新建区、安义县、进贤县。</w:t>
            </w:r>
          </w:p>
          <w:p w14:paraId="1048999C">
            <w:pPr>
              <w:keepNext w:val="0"/>
              <w:keepLines w:val="0"/>
              <w:pageBreakBefore w:val="0"/>
              <w:widowControl w:val="0"/>
              <w:kinsoku/>
              <w:wordWrap/>
              <w:overflowPunct/>
              <w:topLinePunct w:val="0"/>
              <w:autoSpaceDE/>
              <w:autoSpaceDN/>
              <w:bidi w:val="0"/>
              <w:adjustRightInd/>
              <w:snapToGrid/>
              <w:spacing w:line="240" w:lineRule="auto"/>
              <w:ind w:left="0" w:leftChars="0"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上饶市：</w:t>
            </w:r>
            <w:r>
              <w:rPr>
                <w:rFonts w:hint="eastAsia" w:ascii="宋体" w:hAnsi="宋体" w:eastAsia="宋体" w:cs="宋体"/>
                <w:color w:val="auto"/>
                <w:sz w:val="18"/>
                <w:szCs w:val="18"/>
              </w:rPr>
              <w:t>余干县、鄱阳县、万年县。</w:t>
            </w:r>
          </w:p>
          <w:p w14:paraId="731659F8">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lang w:val="en-US" w:eastAsia="zh-CN"/>
              </w:rPr>
              <w:t>抚州</w:t>
            </w:r>
            <w:r>
              <w:rPr>
                <w:rFonts w:hint="eastAsia" w:ascii="宋体" w:hAnsi="宋体" w:eastAsia="宋体" w:cs="宋体"/>
                <w:b/>
                <w:color w:val="auto"/>
                <w:sz w:val="18"/>
                <w:szCs w:val="18"/>
                <w:lang w:eastAsia="zh-CN"/>
              </w:rPr>
              <w:t>市</w:t>
            </w:r>
            <w:r>
              <w:rPr>
                <w:rFonts w:hint="eastAsia" w:ascii="宋体" w:hAnsi="宋体" w:eastAsia="宋体" w:cs="宋体"/>
                <w:b/>
                <w:color w:val="auto"/>
                <w:sz w:val="18"/>
                <w:szCs w:val="18"/>
              </w:rPr>
              <w:t>：</w:t>
            </w:r>
            <w:r>
              <w:rPr>
                <w:rFonts w:hint="eastAsia" w:ascii="宋体" w:hAnsi="宋体" w:eastAsia="宋体" w:cs="宋体"/>
                <w:color w:val="auto"/>
                <w:sz w:val="18"/>
                <w:szCs w:val="18"/>
              </w:rPr>
              <w:t>东乡区。</w:t>
            </w:r>
          </w:p>
          <w:p w14:paraId="07CDA8FD">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宜春市：</w:t>
            </w:r>
            <w:r>
              <w:rPr>
                <w:rFonts w:hint="eastAsia" w:ascii="宋体" w:hAnsi="宋体" w:eastAsia="宋体" w:cs="宋体"/>
                <w:color w:val="auto"/>
                <w:sz w:val="18"/>
                <w:szCs w:val="18"/>
              </w:rPr>
              <w:t>丰城市。</w:t>
            </w:r>
          </w:p>
        </w:tc>
        <w:tc>
          <w:tcPr>
            <w:tcW w:w="886" w:type="pct"/>
            <w:noWrap w:val="0"/>
            <w:tcMar>
              <w:top w:w="15" w:type="dxa"/>
              <w:left w:w="15" w:type="dxa"/>
              <w:bottom w:w="0" w:type="dxa"/>
              <w:right w:w="15" w:type="dxa"/>
            </w:tcMar>
            <w:vAlign w:val="top"/>
          </w:tcPr>
          <w:p w14:paraId="65D779D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景德镇市：</w:t>
            </w:r>
            <w:r>
              <w:rPr>
                <w:rFonts w:hint="eastAsia" w:ascii="宋体" w:hAnsi="宋体" w:eastAsia="宋体" w:cs="宋体"/>
                <w:color w:val="auto"/>
                <w:sz w:val="18"/>
                <w:szCs w:val="18"/>
              </w:rPr>
              <w:t>昌江区、珠山区、浮梁县、乐平市。</w:t>
            </w:r>
          </w:p>
          <w:p w14:paraId="37A7ADB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上饶市：</w:t>
            </w:r>
            <w:r>
              <w:rPr>
                <w:rFonts w:hint="eastAsia" w:ascii="宋体" w:hAnsi="宋体" w:eastAsia="宋体" w:cs="宋体"/>
                <w:color w:val="auto"/>
                <w:sz w:val="18"/>
                <w:szCs w:val="18"/>
              </w:rPr>
              <w:t>婺源县、德兴市、玉山县、横峰县、</w:t>
            </w:r>
            <w:r>
              <w:rPr>
                <w:rFonts w:hint="eastAsia" w:ascii="宋体" w:hAnsi="宋体" w:cs="宋体"/>
                <w:color w:val="auto"/>
                <w:sz w:val="18"/>
                <w:szCs w:val="18"/>
                <w:lang w:val="en-US" w:eastAsia="zh-CN"/>
              </w:rPr>
              <w:t>广信区</w:t>
            </w:r>
            <w:r>
              <w:rPr>
                <w:rFonts w:hint="eastAsia" w:ascii="宋体" w:hAnsi="宋体" w:eastAsia="宋体" w:cs="宋体"/>
                <w:color w:val="auto"/>
                <w:sz w:val="18"/>
                <w:szCs w:val="18"/>
              </w:rPr>
              <w:t>、信州区、广丰区、弋阳县、铅山县。</w:t>
            </w:r>
          </w:p>
          <w:p w14:paraId="287163AE">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鹰潭市：</w:t>
            </w:r>
            <w:r>
              <w:rPr>
                <w:rFonts w:hint="eastAsia" w:ascii="宋体" w:hAnsi="宋体" w:eastAsia="宋体" w:cs="宋体"/>
                <w:color w:val="auto"/>
                <w:sz w:val="18"/>
                <w:szCs w:val="18"/>
              </w:rPr>
              <w:t>月湖区、余江</w:t>
            </w:r>
            <w:r>
              <w:rPr>
                <w:rFonts w:hint="eastAsia" w:ascii="宋体" w:hAnsi="宋体" w:cs="宋体"/>
                <w:color w:val="auto"/>
                <w:sz w:val="18"/>
                <w:szCs w:val="18"/>
                <w:lang w:val="en-US" w:eastAsia="zh-CN"/>
              </w:rPr>
              <w:t>区</w:t>
            </w:r>
            <w:r>
              <w:rPr>
                <w:rFonts w:hint="eastAsia" w:ascii="宋体" w:hAnsi="宋体" w:eastAsia="宋体" w:cs="宋体"/>
                <w:color w:val="auto"/>
                <w:sz w:val="18"/>
                <w:szCs w:val="18"/>
              </w:rPr>
              <w:t>、贵溪市。</w:t>
            </w:r>
          </w:p>
          <w:p w14:paraId="10295A88">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default" w:ascii="宋体" w:hAnsi="宋体" w:eastAsia="宋体" w:cs="宋体"/>
                <w:color w:val="auto"/>
                <w:sz w:val="18"/>
                <w:szCs w:val="18"/>
                <w:lang w:val="en-US" w:eastAsia="zh-CN"/>
              </w:rPr>
            </w:pPr>
            <w:r>
              <w:rPr>
                <w:rFonts w:hint="eastAsia" w:ascii="宋体" w:hAnsi="宋体" w:eastAsia="宋体" w:cs="宋体"/>
                <w:b/>
                <w:color w:val="auto"/>
                <w:sz w:val="18"/>
                <w:szCs w:val="18"/>
                <w:lang w:val="en-US" w:eastAsia="zh-CN"/>
              </w:rPr>
              <w:t>抚州</w:t>
            </w:r>
            <w:r>
              <w:rPr>
                <w:rFonts w:hint="eastAsia" w:ascii="宋体" w:hAnsi="宋体" w:eastAsia="宋体" w:cs="宋体"/>
                <w:b/>
                <w:color w:val="auto"/>
                <w:sz w:val="18"/>
                <w:szCs w:val="18"/>
                <w:lang w:eastAsia="zh-CN"/>
              </w:rPr>
              <w:t>市</w:t>
            </w:r>
            <w:r>
              <w:rPr>
                <w:rFonts w:hint="eastAsia" w:ascii="宋体" w:hAnsi="宋体" w:eastAsia="宋体" w:cs="宋体"/>
                <w:b/>
                <w:color w:val="auto"/>
                <w:sz w:val="18"/>
                <w:szCs w:val="18"/>
              </w:rPr>
              <w:t>：</w:t>
            </w:r>
            <w:r>
              <w:rPr>
                <w:rFonts w:hint="eastAsia" w:ascii="宋体" w:hAnsi="宋体" w:eastAsia="宋体" w:cs="宋体"/>
                <w:b w:val="0"/>
                <w:bCs/>
                <w:color w:val="auto"/>
                <w:sz w:val="18"/>
                <w:szCs w:val="18"/>
                <w:lang w:val="en-US" w:eastAsia="zh-CN"/>
              </w:rPr>
              <w:t>金溪县、资溪县</w:t>
            </w:r>
          </w:p>
        </w:tc>
        <w:tc>
          <w:tcPr>
            <w:tcW w:w="829" w:type="pct"/>
            <w:noWrap w:val="0"/>
            <w:tcMar>
              <w:top w:w="15" w:type="dxa"/>
              <w:left w:w="15" w:type="dxa"/>
              <w:bottom w:w="0" w:type="dxa"/>
              <w:right w:w="15" w:type="dxa"/>
            </w:tcMar>
            <w:vAlign w:val="top"/>
          </w:tcPr>
          <w:p w14:paraId="0B832BD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宜春市：</w:t>
            </w:r>
            <w:r>
              <w:rPr>
                <w:rFonts w:hint="eastAsia" w:ascii="宋体" w:hAnsi="宋体" w:eastAsia="宋体" w:cs="宋体"/>
                <w:color w:val="auto"/>
                <w:sz w:val="18"/>
                <w:szCs w:val="18"/>
              </w:rPr>
              <w:t>铜鼓县、靖安县、奉新县、宜丰县、万载县、上高县、高安市。</w:t>
            </w:r>
          </w:p>
          <w:p w14:paraId="5AB61E5A">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九江市：</w:t>
            </w:r>
            <w:r>
              <w:rPr>
                <w:rFonts w:hint="eastAsia" w:ascii="宋体" w:hAnsi="宋体" w:eastAsia="宋体" w:cs="宋体"/>
                <w:color w:val="auto"/>
                <w:sz w:val="18"/>
                <w:szCs w:val="18"/>
              </w:rPr>
              <w:t>武宁县、修水县。</w:t>
            </w:r>
          </w:p>
          <w:p w14:paraId="152279FA">
            <w:pPr>
              <w:keepNext w:val="0"/>
              <w:keepLines w:val="0"/>
              <w:pageBreakBefore w:val="0"/>
              <w:widowControl w:val="0"/>
              <w:kinsoku/>
              <w:wordWrap/>
              <w:overflowPunct/>
              <w:topLinePunct w:val="0"/>
              <w:autoSpaceDE/>
              <w:autoSpaceDN/>
              <w:bidi w:val="0"/>
              <w:adjustRightInd/>
              <w:snapToGrid/>
              <w:spacing w:line="240" w:lineRule="auto"/>
              <w:ind w:firstLine="360" w:firstLineChars="200"/>
              <w:textAlignment w:val="auto"/>
              <w:rPr>
                <w:rFonts w:hint="eastAsia" w:ascii="宋体" w:hAnsi="宋体" w:eastAsia="宋体" w:cs="宋体"/>
                <w:color w:val="auto"/>
                <w:sz w:val="18"/>
                <w:szCs w:val="18"/>
              </w:rPr>
            </w:pPr>
          </w:p>
        </w:tc>
        <w:tc>
          <w:tcPr>
            <w:tcW w:w="1060" w:type="pct"/>
            <w:noWrap w:val="0"/>
            <w:tcMar>
              <w:top w:w="15" w:type="dxa"/>
              <w:left w:w="15" w:type="dxa"/>
              <w:bottom w:w="0" w:type="dxa"/>
              <w:right w:w="15" w:type="dxa"/>
            </w:tcMar>
            <w:vAlign w:val="top"/>
          </w:tcPr>
          <w:p w14:paraId="49BBE8B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吉安市：</w:t>
            </w:r>
            <w:r>
              <w:rPr>
                <w:rFonts w:hint="eastAsia" w:ascii="宋体" w:hAnsi="宋体" w:eastAsia="宋体" w:cs="宋体"/>
                <w:color w:val="auto"/>
                <w:sz w:val="18"/>
                <w:szCs w:val="18"/>
              </w:rPr>
              <w:t>吉州区、青原区、</w:t>
            </w:r>
            <w:r>
              <w:rPr>
                <w:rFonts w:hint="eastAsia" w:ascii="宋体" w:hAnsi="宋体" w:cs="宋体"/>
                <w:color w:val="auto"/>
                <w:sz w:val="18"/>
                <w:szCs w:val="18"/>
                <w:lang w:val="en-US" w:eastAsia="zh-CN"/>
              </w:rPr>
              <w:t>吉安</w:t>
            </w:r>
            <w:r>
              <w:rPr>
                <w:rFonts w:hint="eastAsia" w:ascii="宋体" w:hAnsi="宋体" w:eastAsia="宋体" w:cs="宋体"/>
                <w:color w:val="auto"/>
                <w:sz w:val="18"/>
                <w:szCs w:val="18"/>
                <w:lang w:eastAsia="zh-CN"/>
              </w:rPr>
              <w:t>县</w:t>
            </w:r>
            <w:r>
              <w:rPr>
                <w:rFonts w:hint="eastAsia" w:ascii="宋体" w:hAnsi="宋体" w:eastAsia="宋体" w:cs="宋体"/>
                <w:color w:val="auto"/>
                <w:sz w:val="18"/>
                <w:szCs w:val="18"/>
              </w:rPr>
              <w:t>、吉水县、峡江县、新干县、永丰县、泰和县、</w:t>
            </w:r>
            <w:r>
              <w:rPr>
                <w:rFonts w:hint="eastAsia" w:ascii="宋体" w:hAnsi="宋体" w:eastAsia="宋体" w:cs="宋体"/>
                <w:color w:val="auto"/>
                <w:sz w:val="18"/>
                <w:szCs w:val="18"/>
                <w:lang w:val="en-US" w:eastAsia="zh-CN"/>
              </w:rPr>
              <w:t>安福</w:t>
            </w:r>
            <w:r>
              <w:rPr>
                <w:rFonts w:hint="eastAsia" w:ascii="宋体" w:hAnsi="宋体" w:eastAsia="宋体" w:cs="宋体"/>
                <w:color w:val="auto"/>
                <w:sz w:val="18"/>
                <w:szCs w:val="18"/>
              </w:rPr>
              <w:t>县、永新县、井冈山市。</w:t>
            </w:r>
          </w:p>
          <w:p w14:paraId="6CE052B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lang w:val="en-US" w:eastAsia="zh-CN"/>
              </w:rPr>
              <w:t>抚州</w:t>
            </w:r>
            <w:r>
              <w:rPr>
                <w:rFonts w:hint="eastAsia" w:ascii="宋体" w:hAnsi="宋体" w:eastAsia="宋体" w:cs="宋体"/>
                <w:b/>
                <w:color w:val="auto"/>
                <w:sz w:val="18"/>
                <w:szCs w:val="18"/>
                <w:lang w:eastAsia="zh-CN"/>
              </w:rPr>
              <w:t>市</w:t>
            </w:r>
            <w:r>
              <w:rPr>
                <w:rFonts w:hint="eastAsia" w:ascii="宋体" w:hAnsi="宋体" w:eastAsia="宋体" w:cs="宋体"/>
                <w:b/>
                <w:color w:val="auto"/>
                <w:sz w:val="18"/>
                <w:szCs w:val="18"/>
              </w:rPr>
              <w:t>：</w:t>
            </w:r>
            <w:r>
              <w:rPr>
                <w:rFonts w:hint="eastAsia" w:ascii="宋体" w:hAnsi="宋体" w:eastAsia="宋体" w:cs="宋体"/>
                <w:color w:val="auto"/>
                <w:sz w:val="18"/>
                <w:szCs w:val="18"/>
              </w:rPr>
              <w:t>临川区、南城县</w:t>
            </w:r>
            <w:r>
              <w:rPr>
                <w:rFonts w:hint="eastAsia" w:ascii="宋体" w:hAnsi="宋体" w:eastAsia="宋体" w:cs="宋体"/>
                <w:color w:val="auto"/>
                <w:sz w:val="18"/>
                <w:szCs w:val="18"/>
                <w:lang w:eastAsia="zh-CN"/>
              </w:rPr>
              <w:t>、</w:t>
            </w:r>
            <w:r>
              <w:rPr>
                <w:rFonts w:hint="eastAsia" w:ascii="宋体" w:hAnsi="宋体" w:eastAsia="宋体" w:cs="宋体"/>
                <w:color w:val="auto"/>
                <w:sz w:val="18"/>
                <w:szCs w:val="18"/>
                <w:lang w:val="en-US" w:eastAsia="zh-CN"/>
              </w:rPr>
              <w:t>黎川县</w:t>
            </w:r>
            <w:r>
              <w:rPr>
                <w:rFonts w:hint="eastAsia" w:ascii="宋体" w:hAnsi="宋体" w:eastAsia="宋体" w:cs="宋体"/>
                <w:color w:val="auto"/>
                <w:sz w:val="18"/>
                <w:szCs w:val="18"/>
              </w:rPr>
              <w:t>、</w:t>
            </w:r>
            <w:r>
              <w:rPr>
                <w:rFonts w:hint="eastAsia" w:ascii="宋体" w:hAnsi="宋体" w:eastAsia="宋体" w:cs="宋体"/>
                <w:color w:val="auto"/>
                <w:sz w:val="18"/>
                <w:szCs w:val="18"/>
                <w:lang w:val="en-US" w:eastAsia="zh-CN"/>
              </w:rPr>
              <w:t>南</w:t>
            </w:r>
            <w:r>
              <w:rPr>
                <w:rFonts w:hint="eastAsia" w:ascii="宋体" w:hAnsi="宋体" w:eastAsia="宋体" w:cs="宋体"/>
                <w:color w:val="auto"/>
                <w:sz w:val="18"/>
                <w:szCs w:val="18"/>
                <w:lang w:eastAsia="zh-CN"/>
              </w:rPr>
              <w:t>丰县</w:t>
            </w:r>
            <w:r>
              <w:rPr>
                <w:rFonts w:hint="eastAsia" w:ascii="宋体" w:hAnsi="宋体" w:eastAsia="宋体" w:cs="宋体"/>
                <w:color w:val="auto"/>
                <w:sz w:val="18"/>
                <w:szCs w:val="18"/>
              </w:rPr>
              <w:t>、崇仁县、乐安县、</w:t>
            </w:r>
            <w:r>
              <w:rPr>
                <w:rFonts w:hint="eastAsia" w:ascii="宋体" w:hAnsi="宋体" w:eastAsia="宋体" w:cs="宋体"/>
                <w:color w:val="auto"/>
                <w:sz w:val="18"/>
                <w:szCs w:val="18"/>
                <w:lang w:val="en-US" w:eastAsia="zh-CN"/>
              </w:rPr>
              <w:t>宜黄</w:t>
            </w:r>
            <w:r>
              <w:rPr>
                <w:rFonts w:hint="eastAsia" w:ascii="宋体" w:hAnsi="宋体" w:eastAsia="宋体" w:cs="宋体"/>
                <w:color w:val="auto"/>
                <w:sz w:val="18"/>
                <w:szCs w:val="18"/>
              </w:rPr>
              <w:t>县、广昌县。</w:t>
            </w:r>
          </w:p>
          <w:p w14:paraId="550A3A2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宜春市：</w:t>
            </w:r>
            <w:r>
              <w:rPr>
                <w:rFonts w:hint="eastAsia" w:ascii="宋体" w:hAnsi="宋体" w:eastAsia="宋体" w:cs="宋体"/>
                <w:color w:val="auto"/>
                <w:sz w:val="18"/>
                <w:szCs w:val="18"/>
              </w:rPr>
              <w:t>袁州区、樟树市。</w:t>
            </w:r>
          </w:p>
          <w:p w14:paraId="34941BA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萍乡市：</w:t>
            </w:r>
            <w:r>
              <w:rPr>
                <w:rFonts w:hint="eastAsia" w:ascii="宋体" w:hAnsi="宋体" w:eastAsia="宋体" w:cs="宋体"/>
                <w:color w:val="auto"/>
                <w:sz w:val="18"/>
                <w:szCs w:val="18"/>
              </w:rPr>
              <w:t>安源区、湘东区、莲花县、上栗县、芦溪县。</w:t>
            </w:r>
          </w:p>
          <w:p w14:paraId="59379AB0">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新余市：</w:t>
            </w:r>
            <w:r>
              <w:rPr>
                <w:rFonts w:hint="eastAsia" w:ascii="宋体" w:hAnsi="宋体" w:eastAsia="宋体" w:cs="宋体"/>
                <w:color w:val="auto"/>
                <w:sz w:val="18"/>
                <w:szCs w:val="18"/>
              </w:rPr>
              <w:t>渝水区、分宜县。</w:t>
            </w:r>
          </w:p>
        </w:tc>
        <w:tc>
          <w:tcPr>
            <w:tcW w:w="729" w:type="pct"/>
            <w:noWrap w:val="0"/>
            <w:tcMar>
              <w:top w:w="15" w:type="dxa"/>
              <w:left w:w="15" w:type="dxa"/>
              <w:bottom w:w="0" w:type="dxa"/>
              <w:right w:w="15" w:type="dxa"/>
            </w:tcMar>
            <w:vAlign w:val="top"/>
          </w:tcPr>
          <w:p w14:paraId="618DA245">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color w:val="auto"/>
                <w:sz w:val="18"/>
                <w:szCs w:val="18"/>
              </w:rPr>
            </w:pPr>
            <w:r>
              <w:rPr>
                <w:rFonts w:hint="eastAsia" w:ascii="宋体" w:hAnsi="宋体" w:eastAsia="宋体" w:cs="宋体"/>
                <w:b/>
                <w:color w:val="auto"/>
                <w:sz w:val="18"/>
                <w:szCs w:val="18"/>
              </w:rPr>
              <w:t>赣州市：</w:t>
            </w:r>
            <w:r>
              <w:rPr>
                <w:rFonts w:hint="eastAsia" w:ascii="宋体" w:hAnsi="宋体" w:eastAsia="宋体" w:cs="宋体"/>
                <w:color w:val="auto"/>
                <w:sz w:val="18"/>
                <w:szCs w:val="18"/>
              </w:rPr>
              <w:t>章贡区、</w:t>
            </w:r>
            <w:r>
              <w:rPr>
                <w:rFonts w:hint="eastAsia" w:ascii="宋体" w:hAnsi="宋体" w:eastAsia="宋体" w:cs="宋体"/>
                <w:color w:val="auto"/>
                <w:sz w:val="18"/>
                <w:szCs w:val="18"/>
                <w:lang w:val="en-US" w:eastAsia="zh-CN"/>
              </w:rPr>
              <w:t>南康区、</w:t>
            </w:r>
            <w:r>
              <w:rPr>
                <w:rFonts w:hint="eastAsia" w:ascii="宋体" w:hAnsi="宋体" w:eastAsia="宋体" w:cs="宋体"/>
                <w:color w:val="auto"/>
                <w:sz w:val="18"/>
                <w:szCs w:val="18"/>
              </w:rPr>
              <w:t>赣县</w:t>
            </w:r>
            <w:r>
              <w:rPr>
                <w:rFonts w:hint="eastAsia" w:ascii="宋体" w:hAnsi="宋体" w:eastAsia="宋体" w:cs="宋体"/>
                <w:color w:val="auto"/>
                <w:sz w:val="18"/>
                <w:szCs w:val="18"/>
                <w:lang w:val="en-US" w:eastAsia="zh-CN"/>
              </w:rPr>
              <w:t>区</w:t>
            </w:r>
            <w:r>
              <w:rPr>
                <w:rFonts w:hint="eastAsia" w:ascii="宋体" w:hAnsi="宋体" w:eastAsia="宋体" w:cs="宋体"/>
                <w:color w:val="auto"/>
                <w:sz w:val="18"/>
                <w:szCs w:val="18"/>
              </w:rPr>
              <w:t>、信丰县、大余县、上犹县、崇义县、安远县、龙南县、定南县、全南县、宁都县、于都县、兴国县、会昌县、寻乌县、石城县、瑞金市。</w:t>
            </w:r>
          </w:p>
          <w:p w14:paraId="2CC3D70E">
            <w:pPr>
              <w:keepNext w:val="0"/>
              <w:keepLines w:val="0"/>
              <w:pageBreakBefore w:val="0"/>
              <w:widowControl w:val="0"/>
              <w:kinsoku/>
              <w:wordWrap/>
              <w:overflowPunct/>
              <w:topLinePunct w:val="0"/>
              <w:autoSpaceDE/>
              <w:autoSpaceDN/>
              <w:bidi w:val="0"/>
              <w:adjustRightInd/>
              <w:snapToGrid/>
              <w:spacing w:line="240" w:lineRule="auto"/>
              <w:ind w:firstLine="361" w:firstLineChars="200"/>
              <w:textAlignment w:val="auto"/>
              <w:rPr>
                <w:rFonts w:hint="eastAsia" w:ascii="宋体" w:hAnsi="宋体" w:eastAsia="宋体" w:cs="宋体"/>
                <w:b/>
                <w:color w:val="auto"/>
                <w:sz w:val="18"/>
                <w:szCs w:val="18"/>
              </w:rPr>
            </w:pPr>
            <w:r>
              <w:rPr>
                <w:rFonts w:hint="eastAsia" w:ascii="宋体" w:hAnsi="宋体" w:eastAsia="宋体" w:cs="宋体"/>
                <w:b/>
                <w:color w:val="auto"/>
                <w:sz w:val="18"/>
                <w:szCs w:val="18"/>
              </w:rPr>
              <w:t>吉安市：</w:t>
            </w:r>
            <w:r>
              <w:rPr>
                <w:rFonts w:hint="eastAsia" w:ascii="宋体" w:hAnsi="宋体" w:eastAsia="宋体" w:cs="宋体"/>
                <w:color w:val="auto"/>
                <w:sz w:val="18"/>
                <w:szCs w:val="18"/>
              </w:rPr>
              <w:t>万安县、遂川县。</w:t>
            </w:r>
          </w:p>
        </w:tc>
      </w:tr>
    </w:tbl>
    <w:p w14:paraId="59C871F6">
      <w:pPr>
        <w:spacing w:line="360" w:lineRule="auto"/>
        <w:jc w:val="center"/>
        <w:rPr>
          <w:rFonts w:hint="default" w:ascii="Times New Roman" w:hAnsi="Times New Roman" w:eastAsia="仿宋_GB2312" w:cs="Times New Roman"/>
          <w:b/>
          <w:bCs/>
          <w:color w:val="auto"/>
          <w:sz w:val="24"/>
          <w:lang w:val="en-US" w:eastAsia="zh-CN"/>
        </w:rPr>
      </w:pPr>
      <w:bookmarkStart w:id="35" w:name="_Toc291531897"/>
      <w:bookmarkStart w:id="36" w:name="_Toc291533950"/>
      <w:bookmarkStart w:id="37" w:name="_Toc291536407"/>
      <w:bookmarkStart w:id="38" w:name="_Toc291528742"/>
      <w:bookmarkStart w:id="39" w:name="_Toc291532700"/>
      <w:bookmarkStart w:id="40" w:name="_Toc291528698"/>
      <w:bookmarkStart w:id="41" w:name="_Toc291528848"/>
    </w:p>
    <w:p w14:paraId="4F0F2A2C">
      <w:pPr>
        <w:rPr>
          <w:rFonts w:hint="default"/>
          <w:lang w:val="en-US" w:eastAsia="zh-CN"/>
        </w:rPr>
      </w:pPr>
      <w:r>
        <w:rPr>
          <w:rFonts w:hint="default"/>
          <w:lang w:val="en-US" w:eastAsia="zh-CN"/>
        </w:rPr>
        <w:br w:type="page"/>
      </w:r>
    </w:p>
    <w:p w14:paraId="3C2852F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lang w:val="en-US" w:eastAsia="zh-CN"/>
        </w:rPr>
      </w:pPr>
      <w:r>
        <w:rPr>
          <w:rFonts w:hint="default"/>
          <w:lang w:val="en-US" w:eastAsia="zh-CN"/>
        </w:rPr>
        <w:t>表</w:t>
      </w:r>
      <w:r>
        <w:rPr>
          <w:rFonts w:hint="eastAsia"/>
          <w:lang w:val="en-US" w:eastAsia="zh-CN"/>
        </w:rPr>
        <w:t>2.2</w:t>
      </w:r>
      <w:r>
        <w:rPr>
          <w:rFonts w:hint="default"/>
          <w:lang w:val="en-US" w:eastAsia="zh-CN"/>
        </w:rPr>
        <w:t>-</w:t>
      </w:r>
      <w:r>
        <w:rPr>
          <w:rFonts w:hint="eastAsia"/>
          <w:lang w:val="en-US" w:eastAsia="zh-CN"/>
        </w:rPr>
        <w:t>3</w:t>
      </w:r>
      <w:r>
        <w:rPr>
          <w:rFonts w:hint="default"/>
          <w:lang w:val="en-US" w:eastAsia="zh-CN"/>
        </w:rPr>
        <w:t xml:space="preserve"> </w:t>
      </w:r>
      <w:bookmarkEnd w:id="35"/>
      <w:bookmarkEnd w:id="36"/>
      <w:bookmarkEnd w:id="37"/>
      <w:bookmarkEnd w:id="38"/>
      <w:bookmarkEnd w:id="39"/>
      <w:bookmarkEnd w:id="40"/>
      <w:bookmarkEnd w:id="41"/>
      <w:r>
        <w:rPr>
          <w:rFonts w:hint="default"/>
          <w:lang w:val="en-US" w:eastAsia="zh-CN"/>
        </w:rPr>
        <w:t>省级分区主要作物的综合灌溉用水定额</w:t>
      </w:r>
    </w:p>
    <w:p w14:paraId="4CDB7EC8">
      <w:pPr>
        <w:bidi w:val="0"/>
        <w:jc w:val="right"/>
        <w:rPr>
          <w:rFonts w:hint="default" w:ascii="Times New Roman" w:hAnsi="Times New Roman" w:cs="Times New Roman"/>
          <w:color w:val="auto"/>
          <w:szCs w:val="20"/>
        </w:rPr>
      </w:pPr>
      <w:r>
        <w:rPr>
          <w:rFonts w:hint="default"/>
          <w:sz w:val="21"/>
          <w:szCs w:val="21"/>
        </w:rPr>
        <w:t>单位：m³/亩</w:t>
      </w:r>
    </w:p>
    <w:tbl>
      <w:tblPr>
        <w:tblStyle w:val="17"/>
        <w:tblW w:w="905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07"/>
        <w:gridCol w:w="690"/>
        <w:gridCol w:w="660"/>
        <w:gridCol w:w="696"/>
        <w:gridCol w:w="696"/>
        <w:gridCol w:w="1546"/>
        <w:gridCol w:w="771"/>
        <w:gridCol w:w="771"/>
        <w:gridCol w:w="771"/>
        <w:gridCol w:w="771"/>
        <w:gridCol w:w="771"/>
      </w:tblGrid>
      <w:tr w14:paraId="5C1F9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EE7FD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行业代码</w:t>
            </w:r>
          </w:p>
        </w:tc>
        <w:tc>
          <w:tcPr>
            <w:tcW w:w="6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50C8B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类别名称</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C7BB6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作物名称</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F58E6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水文年</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F6208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分级</w:t>
            </w:r>
          </w:p>
        </w:tc>
        <w:tc>
          <w:tcPr>
            <w:tcW w:w="154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236DB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灌溉方式</w:t>
            </w:r>
          </w:p>
        </w:tc>
        <w:tc>
          <w:tcPr>
            <w:tcW w:w="385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410A8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灌溉分区</w:t>
            </w:r>
          </w:p>
        </w:tc>
      </w:tr>
      <w:tr w14:paraId="3BE54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FC4C6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279D4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40115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419C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DFF74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154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710F07">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FFDB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鄱阳湖区</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6DA6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赣东北区</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6BAE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赣西北区</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2A67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赣中区</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185A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赣南区</w:t>
            </w:r>
          </w:p>
        </w:tc>
      </w:tr>
      <w:tr w14:paraId="58BA8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A5E78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A0111</w:t>
            </w:r>
          </w:p>
        </w:tc>
        <w:tc>
          <w:tcPr>
            <w:tcW w:w="6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7BCF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水稻种植</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C6DCC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早稻</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707CD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2ADCB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00D2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10C1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C507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A313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84BB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189</w:t>
            </w:r>
          </w:p>
        </w:tc>
      </w:tr>
      <w:tr w14:paraId="3ADF55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B6F26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AFAE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314C5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D155B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BF570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6255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4198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7709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117</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7C5E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1BCE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2C26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142</w:t>
            </w:r>
          </w:p>
        </w:tc>
      </w:tr>
      <w:tr w14:paraId="0134A0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44F84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930F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0995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C6623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96A91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9301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F8F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127</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67D5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102</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773D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18B9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5A24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124</w:t>
            </w:r>
          </w:p>
        </w:tc>
      </w:tr>
      <w:tr w14:paraId="236DA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6D0CB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284D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A0C48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FAFD9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EC48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2A0D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D4B4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42E8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186</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7E77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D383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230</w:t>
            </w:r>
          </w:p>
        </w:tc>
      </w:tr>
      <w:tr w14:paraId="712B8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06A2B7">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F97C8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BEFC3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39017">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F9465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E18B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F415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166</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424A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138</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D8F9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139</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7305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1626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173</w:t>
            </w:r>
          </w:p>
        </w:tc>
      </w:tr>
      <w:tr w14:paraId="6A653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7C373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18AC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2C859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689F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AB8A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0136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4936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145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01AC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FCCC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4067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1911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151</w:t>
            </w:r>
          </w:p>
        </w:tc>
      </w:tr>
      <w:tr w14:paraId="3E53B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02A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7FDB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772E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C8242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226C4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957A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F304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0AC2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FF80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E0A0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279</w:t>
            </w:r>
          </w:p>
        </w:tc>
      </w:tr>
      <w:tr w14:paraId="42CC9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3A6B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6C5D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CD40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93D5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E4071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EAC4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5EA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209</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8815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A231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182</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98CF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198</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7E9D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209</w:t>
            </w:r>
          </w:p>
        </w:tc>
      </w:tr>
      <w:tr w14:paraId="5FDC6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093BA">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01D4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4A74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A0AA8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5C24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C138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93F7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75D5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A314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159</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461A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D13E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183</w:t>
            </w:r>
          </w:p>
        </w:tc>
      </w:tr>
      <w:tr w14:paraId="4D514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FEDC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5D3EB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C6BB8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仿宋" w:cs="Times New Roman"/>
                <w:i w:val="0"/>
                <w:iCs w:val="0"/>
                <w:color w:val="000000"/>
                <w:sz w:val="21"/>
                <w:szCs w:val="21"/>
                <w:u w:val="none"/>
              </w:rPr>
            </w:pPr>
            <w:r>
              <w:rPr>
                <w:rFonts w:hint="default" w:ascii="Times New Roman" w:hAnsi="Times New Roman" w:eastAsia="仿宋" w:cs="Times New Roman"/>
                <w:i w:val="0"/>
                <w:iCs w:val="0"/>
                <w:color w:val="000000"/>
                <w:kern w:val="0"/>
                <w:sz w:val="21"/>
                <w:szCs w:val="21"/>
                <w:u w:val="none"/>
                <w:lang w:val="en-US" w:eastAsia="zh-CN" w:bidi="ar"/>
              </w:rPr>
              <w:t>中稻或一季晚稻</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837C2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C8E73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7050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A206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347</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5FB9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BE22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94E9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377</w:t>
            </w:r>
          </w:p>
        </w:tc>
      </w:tr>
      <w:tr w14:paraId="63FE9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2FCBA">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E486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4D718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B4EA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08591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3FD4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EBD5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DE38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347</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1680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C46D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BAC4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283</w:t>
            </w:r>
          </w:p>
        </w:tc>
      </w:tr>
      <w:tr w14:paraId="4C1A9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3786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54B0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20FC0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BBB94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6879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8851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3752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3625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E563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D8F0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326</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FCED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247</w:t>
            </w:r>
          </w:p>
        </w:tc>
      </w:tr>
      <w:tr w14:paraId="46535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DBC16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B33E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A59FB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1B947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AFB00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3B80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571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C542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3336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538</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0E28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0BD2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422</w:t>
            </w:r>
          </w:p>
        </w:tc>
      </w:tr>
      <w:tr w14:paraId="4BB47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BC3E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08F80B">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6AB7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5889C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7C0C7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F275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1ED0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4435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FA51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6526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D69C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316</w:t>
            </w:r>
          </w:p>
        </w:tc>
      </w:tr>
      <w:tr w14:paraId="27BF7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3221FB">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DB51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5E72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4355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0860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B2F4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7A02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372</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04F1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076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0708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2C0C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276</w:t>
            </w:r>
          </w:p>
        </w:tc>
      </w:tr>
      <w:tr w14:paraId="103EB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388DB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DF347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9EA1A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9D27F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9A8AB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B786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658</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B2E7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631</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AB8F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646</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D8FF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623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822C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513</w:t>
            </w:r>
          </w:p>
        </w:tc>
      </w:tr>
      <w:tr w14:paraId="4B75E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C45A3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CD607">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652D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9717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9A246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8174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CD27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78CA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474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43D7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484</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3657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469</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1EA3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385</w:t>
            </w:r>
          </w:p>
        </w:tc>
      </w:tr>
      <w:tr w14:paraId="56728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70D0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388F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8320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A62B2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856E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79AB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A09D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429</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DAFD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415</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9166B">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423</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CD39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410</w:t>
            </w:r>
          </w:p>
        </w:tc>
        <w:tc>
          <w:tcPr>
            <w:tcW w:w="7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AF7E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w:t>
            </w:r>
          </w:p>
        </w:tc>
      </w:tr>
      <w:tr w14:paraId="26F58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CEF2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BDA7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E6CA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二季晚稻</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0F7BA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A7F1B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9A57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9707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360</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43A2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349</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BEE1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391</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A98C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328</w:t>
            </w:r>
          </w:p>
        </w:tc>
      </w:tr>
      <w:tr w14:paraId="519F9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3F56EB">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9811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D573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30FA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FD59D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CD1C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2F8C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156C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270</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7B3A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283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40F2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394</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42490">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246</w:t>
            </w:r>
          </w:p>
        </w:tc>
      </w:tr>
      <w:tr w14:paraId="4AB12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0D2C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50ADD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2FD6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F1217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5F9BE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A8EE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05EA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265</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53D93">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569C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248</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89C0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D4CD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215</w:t>
            </w:r>
          </w:p>
        </w:tc>
      </w:tr>
      <w:tr w14:paraId="2D119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A6192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040445">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F540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F762D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75%</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F024B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C303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480</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AC7D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442</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D06F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442</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6661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446</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B33A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406</w:t>
            </w:r>
          </w:p>
        </w:tc>
      </w:tr>
      <w:tr w14:paraId="24AA00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D396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CD49B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CAD5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A239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546D9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32BA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C775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270F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332</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523B6">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331</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C12A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336</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4125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304</w:t>
            </w:r>
          </w:p>
        </w:tc>
      </w:tr>
      <w:tr w14:paraId="090E6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B0E78F">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6B46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2039A">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99404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25339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A41F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03CE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D5612">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291</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FD77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290</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5CD9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294</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29E5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266</w:t>
            </w:r>
          </w:p>
        </w:tc>
      </w:tr>
      <w:tr w14:paraId="04485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AA0A4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E02801">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8AB8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9A8EA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w:t>
            </w:r>
          </w:p>
        </w:tc>
        <w:tc>
          <w:tcPr>
            <w:tcW w:w="22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5DD449">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通用值</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1E91A">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557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73CF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512</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FCC8E">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538</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B754F">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503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B5BAC">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487</w:t>
            </w:r>
          </w:p>
        </w:tc>
      </w:tr>
      <w:tr w14:paraId="6AE69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7F93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3487F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6F5C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D3F2A">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30391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先进值</w:t>
            </w: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D12A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渠道防渗灌溉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3DC75">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415</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31B6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385</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57BFD">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403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6320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379</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E84A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365</w:t>
            </w:r>
          </w:p>
        </w:tc>
      </w:tr>
      <w:tr w14:paraId="4E2CF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9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FB0E43">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57504C">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仿宋" w:cs="Times New Roman"/>
                <w:i w:val="0"/>
                <w:iCs w:val="0"/>
                <w:color w:val="000000"/>
                <w:sz w:val="21"/>
                <w:szCs w:val="21"/>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B2CF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0C75B">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5C185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rPr>
                <w:rFonts w:hint="default" w:ascii="Times New Roman" w:hAnsi="Times New Roman" w:eastAsia="宋体" w:cs="Times New Roman"/>
                <w:i w:val="0"/>
                <w:iCs w:val="0"/>
                <w:color w:val="000000"/>
                <w:sz w:val="21"/>
                <w:szCs w:val="21"/>
                <w:u w:val="none"/>
              </w:rPr>
            </w:pPr>
          </w:p>
        </w:tc>
        <w:tc>
          <w:tcPr>
            <w:tcW w:w="15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D574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管道输水灌溉</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E5C07">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363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6A80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337</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648B8">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353</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27EB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332</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4D8E4">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320</w:t>
            </w:r>
          </w:p>
        </w:tc>
      </w:tr>
    </w:tbl>
    <w:p w14:paraId="2482AC6D">
      <w:pPr>
        <w:pStyle w:val="10"/>
        <w:rPr>
          <w:rFonts w:hint="default" w:ascii="Times New Roman" w:hAnsi="Times New Roman" w:cs="Times New Roman"/>
          <w:color w:val="auto"/>
        </w:rPr>
      </w:pPr>
    </w:p>
    <w:p w14:paraId="121B2C41">
      <w:pPr>
        <w:rPr>
          <w:rFonts w:hint="default"/>
        </w:rPr>
      </w:pPr>
      <w:r>
        <w:rPr>
          <w:rFonts w:hint="default"/>
        </w:rPr>
        <w:br w:type="page"/>
      </w:r>
    </w:p>
    <w:p w14:paraId="399BB6B2">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2024年3月15日江西省水利厅发布《农业用水定额》（DB36/T619-2024）地方标准，该标准于2024年9月1</w:t>
      </w:r>
      <w:r>
        <w:rPr>
          <w:rFonts w:hint="eastAsia"/>
          <w:color w:val="auto"/>
          <w:sz w:val="24"/>
          <w:szCs w:val="24"/>
          <w:highlight w:val="none"/>
          <w:lang w:eastAsia="zh-CN"/>
        </w:rPr>
        <w:t>日起正式实施</w:t>
      </w:r>
      <w:r>
        <w:rPr>
          <w:rFonts w:ascii="Times New Roman" w:hAnsi="Times New Roman"/>
          <w:color w:val="auto"/>
          <w:sz w:val="24"/>
          <w:szCs w:val="24"/>
          <w:highlight w:val="none"/>
          <w:lang w:eastAsia="zh-CN"/>
        </w:rPr>
        <w:t>，本项目建成交付使用于202</w:t>
      </w:r>
      <w:r>
        <w:rPr>
          <w:rFonts w:hint="eastAsia"/>
          <w:color w:val="auto"/>
          <w:sz w:val="24"/>
          <w:szCs w:val="24"/>
          <w:highlight w:val="none"/>
          <w:lang w:val="en-US" w:eastAsia="zh-CN"/>
        </w:rPr>
        <w:t>6</w:t>
      </w:r>
      <w:r>
        <w:rPr>
          <w:rFonts w:ascii="Times New Roman" w:hAnsi="Times New Roman"/>
          <w:color w:val="auto"/>
          <w:sz w:val="24"/>
          <w:szCs w:val="24"/>
          <w:highlight w:val="none"/>
          <w:lang w:eastAsia="zh-CN"/>
        </w:rPr>
        <w:t>年，故本次灌溉定额引用该用水定额标准。</w:t>
      </w:r>
      <w:r>
        <w:rPr>
          <w:rFonts w:hint="eastAsia" w:asciiTheme="minorEastAsia" w:hAnsiTheme="minorEastAsia" w:eastAsiaTheme="minorEastAsia" w:cstheme="minorEastAsia"/>
          <w:i w:val="0"/>
          <w:iCs w:val="0"/>
          <w:color w:val="000000"/>
          <w:kern w:val="0"/>
          <w:sz w:val="21"/>
          <w:szCs w:val="21"/>
          <w:highlight w:val="none"/>
          <w:u w:val="none"/>
          <w:lang w:val="en-US" w:eastAsia="zh-CN" w:bidi="ar"/>
        </w:rPr>
        <w:t>昌江区</w:t>
      </w:r>
      <w:r>
        <w:rPr>
          <w:rFonts w:ascii="Times New Roman" w:hAnsi="Times New Roman"/>
          <w:color w:val="auto"/>
          <w:sz w:val="24"/>
          <w:szCs w:val="24"/>
          <w:highlight w:val="none"/>
          <w:lang w:eastAsia="zh-CN"/>
        </w:rPr>
        <w:t>属赣</w:t>
      </w:r>
      <w:r>
        <w:rPr>
          <w:rFonts w:hint="eastAsia" w:ascii="Times New Roman" w:hAnsi="Times New Roman"/>
          <w:color w:val="auto"/>
          <w:sz w:val="24"/>
          <w:szCs w:val="24"/>
          <w:highlight w:val="none"/>
          <w:lang w:val="en-US" w:eastAsia="zh-CN"/>
        </w:rPr>
        <w:t>东北</w:t>
      </w:r>
      <w:r>
        <w:rPr>
          <w:rFonts w:ascii="Times New Roman" w:hAnsi="Times New Roman"/>
          <w:color w:val="auto"/>
          <w:sz w:val="24"/>
          <w:szCs w:val="24"/>
          <w:highlight w:val="none"/>
          <w:lang w:eastAsia="zh-CN"/>
        </w:rPr>
        <w:t>区，项目建成后区内渠道基本</w:t>
      </w:r>
      <w:r>
        <w:rPr>
          <w:rFonts w:hint="eastAsia" w:ascii="Times New Roman" w:hAnsi="Times New Roman"/>
          <w:color w:val="auto"/>
          <w:sz w:val="24"/>
          <w:szCs w:val="24"/>
          <w:highlight w:val="none"/>
          <w:lang w:val="en-US" w:eastAsia="zh-CN"/>
        </w:rPr>
        <w:t>为</w:t>
      </w:r>
      <w:r>
        <w:rPr>
          <w:rFonts w:ascii="Times New Roman" w:hAnsi="Times New Roman"/>
          <w:color w:val="auto"/>
          <w:sz w:val="24"/>
          <w:szCs w:val="24"/>
          <w:highlight w:val="none"/>
          <w:lang w:eastAsia="zh-CN"/>
        </w:rPr>
        <w:t>混凝土衬砌渠道，查询《农业用水定额》（DB36/T619-2024）可知：赣</w:t>
      </w:r>
      <w:r>
        <w:rPr>
          <w:rFonts w:hint="eastAsia" w:ascii="Times New Roman" w:hAnsi="Times New Roman"/>
          <w:color w:val="auto"/>
          <w:sz w:val="24"/>
          <w:szCs w:val="24"/>
          <w:highlight w:val="none"/>
          <w:lang w:val="en-US" w:eastAsia="zh-CN"/>
        </w:rPr>
        <w:t>东北</w:t>
      </w:r>
      <w:r>
        <w:rPr>
          <w:rFonts w:ascii="Times New Roman" w:hAnsi="Times New Roman"/>
          <w:color w:val="auto"/>
          <w:sz w:val="24"/>
          <w:szCs w:val="24"/>
          <w:highlight w:val="none"/>
          <w:lang w:eastAsia="zh-CN"/>
        </w:rPr>
        <w:t>区、水文年90%、渠道防渗灌溉下早稻灌溉用水定额为1</w:t>
      </w:r>
      <w:r>
        <w:rPr>
          <w:rFonts w:hint="eastAsia" w:ascii="Times New Roman" w:hAnsi="Times New Roman"/>
          <w:color w:val="auto"/>
          <w:sz w:val="24"/>
          <w:szCs w:val="24"/>
          <w:highlight w:val="none"/>
          <w:lang w:val="en-US" w:eastAsia="zh-CN"/>
        </w:rPr>
        <w:t>83</w:t>
      </w:r>
      <w:r>
        <w:rPr>
          <w:rFonts w:ascii="Times New Roman" w:hAnsi="Times New Roman"/>
          <w:color w:val="auto"/>
          <w:sz w:val="24"/>
          <w:szCs w:val="24"/>
          <w:highlight w:val="none"/>
          <w:lang w:eastAsia="zh-CN"/>
        </w:rPr>
        <w:t>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/亩，晚稻灌溉用水定额为3</w:t>
      </w:r>
      <w:r>
        <w:rPr>
          <w:rFonts w:hint="eastAsia" w:ascii="Times New Roman" w:hAnsi="Times New Roman"/>
          <w:color w:val="auto"/>
          <w:sz w:val="24"/>
          <w:szCs w:val="24"/>
          <w:highlight w:val="none"/>
          <w:lang w:val="en-US" w:eastAsia="zh-CN"/>
        </w:rPr>
        <w:t>85</w:t>
      </w:r>
      <w:r>
        <w:rPr>
          <w:rFonts w:ascii="Times New Roman" w:hAnsi="Times New Roman"/>
          <w:color w:val="auto"/>
          <w:sz w:val="24"/>
          <w:szCs w:val="24"/>
          <w:highlight w:val="none"/>
          <w:lang w:eastAsia="zh-CN"/>
        </w:rPr>
        <w:t>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w:t>
      </w:r>
    </w:p>
    <w:p w14:paraId="647E690F">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因灌溉用水定额值由毛灌溉用水定额和规定位置以上灌溉水</w:t>
      </w:r>
      <w:bookmarkStart w:id="213" w:name="_GoBack"/>
      <w:bookmarkEnd w:id="213"/>
      <w:r>
        <w:rPr>
          <w:rFonts w:ascii="Times New Roman" w:hAnsi="Times New Roman"/>
          <w:color w:val="auto"/>
          <w:sz w:val="24"/>
          <w:szCs w:val="24"/>
          <w:highlight w:val="none"/>
          <w:lang w:eastAsia="zh-CN"/>
        </w:rPr>
        <w:t>有效利用系数计算确定，即：</w:t>
      </w:r>
    </w:p>
    <w:p w14:paraId="63857935">
      <w:pPr>
        <w:spacing w:after="0" w:line="360" w:lineRule="auto"/>
        <w:ind w:firstLine="480" w:firstLineChars="200"/>
        <w:jc w:val="center"/>
        <w:rPr>
          <w:rFonts w:ascii="Times New Roman" w:hAnsi="Times New Roman"/>
          <w:color w:val="auto"/>
          <w:sz w:val="24"/>
          <w:szCs w:val="24"/>
          <w:highlight w:val="none"/>
          <w:lang w:eastAsia="zh-CN"/>
        </w:rPr>
      </w:pPr>
      <w:r>
        <w:rPr>
          <w:rFonts w:ascii="Times New Roman" w:hAnsi="Times New Roman"/>
          <w:i/>
          <w:color w:val="auto"/>
          <w:sz w:val="24"/>
          <w:szCs w:val="24"/>
          <w:highlight w:val="none"/>
          <w:lang w:eastAsia="zh-CN"/>
        </w:rPr>
        <w:t>m</w:t>
      </w:r>
      <w:r>
        <w:rPr>
          <w:rFonts w:ascii="Times New Roman" w:hAnsi="Times New Roman"/>
          <w:color w:val="auto"/>
          <w:sz w:val="24"/>
          <w:szCs w:val="24"/>
          <w:highlight w:val="none"/>
          <w:lang w:eastAsia="zh-CN"/>
        </w:rPr>
        <w:t>=</w:t>
      </w:r>
      <w:r>
        <w:rPr>
          <w:rFonts w:ascii="Times New Roman" w:hAnsi="Times New Roman"/>
          <w:i/>
          <w:color w:val="auto"/>
          <w:sz w:val="24"/>
          <w:szCs w:val="24"/>
          <w:highlight w:val="none"/>
          <w:lang w:eastAsia="zh-CN"/>
        </w:rPr>
        <w:t>m</w:t>
      </w:r>
      <w:r>
        <w:rPr>
          <w:rFonts w:ascii="Times New Roman" w:hAnsi="Times New Roman"/>
          <w:color w:val="auto"/>
          <w:sz w:val="24"/>
          <w:szCs w:val="24"/>
          <w:highlight w:val="none"/>
          <w:vertAlign w:val="subscript"/>
          <w:lang w:eastAsia="zh-CN"/>
        </w:rPr>
        <w:t>毛</w:t>
      </w:r>
      <w:r>
        <w:rPr>
          <w:rFonts w:ascii="Times New Roman" w:hAnsi="Times New Roman"/>
          <w:color w:val="auto"/>
          <w:sz w:val="24"/>
          <w:szCs w:val="24"/>
          <w:highlight w:val="none"/>
          <w:lang w:eastAsia="zh-CN"/>
        </w:rPr>
        <w:t>×</w:t>
      </w:r>
      <w:r>
        <w:rPr>
          <w:rFonts w:ascii="Times New Roman" w:hAnsi="Times New Roman"/>
          <w:i/>
          <w:color w:val="auto"/>
          <w:sz w:val="24"/>
          <w:szCs w:val="24"/>
          <w:highlight w:val="none"/>
          <w:lang w:eastAsia="zh-CN"/>
        </w:rPr>
        <w:t>η</w:t>
      </w:r>
      <w:r>
        <w:rPr>
          <w:rFonts w:ascii="Times New Roman" w:hAnsi="Times New Roman"/>
          <w:color w:val="auto"/>
          <w:sz w:val="24"/>
          <w:szCs w:val="24"/>
          <w:highlight w:val="none"/>
          <w:vertAlign w:val="subscript"/>
          <w:lang w:eastAsia="zh-CN"/>
        </w:rPr>
        <w:t>上</w:t>
      </w:r>
    </w:p>
    <w:p w14:paraId="44B72FA6">
      <w:pPr>
        <w:widowControl/>
        <w:spacing w:after="0" w:line="360" w:lineRule="auto"/>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式中：</w:t>
      </w:r>
      <w:r>
        <w:rPr>
          <w:rFonts w:ascii="Times New Roman" w:hAnsi="Times New Roman"/>
          <w:i/>
          <w:color w:val="auto"/>
          <w:sz w:val="24"/>
          <w:szCs w:val="24"/>
          <w:highlight w:val="none"/>
          <w:lang w:eastAsia="zh-CN"/>
        </w:rPr>
        <w:t>m</w:t>
      </w:r>
      <w:r>
        <w:rPr>
          <w:rFonts w:ascii="Times New Roman" w:hAnsi="Times New Roman"/>
          <w:color w:val="auto"/>
          <w:sz w:val="24"/>
          <w:szCs w:val="24"/>
          <w:highlight w:val="none"/>
          <w:lang w:eastAsia="zh-CN"/>
        </w:rPr>
        <w:t xml:space="preserve"> </w:t>
      </w:r>
      <w:r>
        <w:rPr>
          <w:rFonts w:hint="eastAsia"/>
          <w:color w:val="auto"/>
          <w:sz w:val="24"/>
          <w:szCs w:val="24"/>
          <w:highlight w:val="none"/>
          <w:lang w:eastAsia="zh-CN"/>
        </w:rPr>
        <w:t>—</w:t>
      </w:r>
      <w:r>
        <w:rPr>
          <w:rFonts w:ascii="Times New Roman" w:hAnsi="Times New Roman"/>
          <w:color w:val="auto"/>
          <w:sz w:val="24"/>
          <w:szCs w:val="24"/>
          <w:highlight w:val="none"/>
          <w:lang w:eastAsia="zh-CN"/>
        </w:rPr>
        <w:t>灌溉用水定额值，m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w:t>
      </w:r>
    </w:p>
    <w:p w14:paraId="24B64E40">
      <w:pPr>
        <w:widowControl/>
        <w:spacing w:after="0" w:line="360" w:lineRule="auto"/>
        <w:ind w:firstLine="1135" w:firstLineChars="473"/>
        <w:rPr>
          <w:rFonts w:ascii="Times New Roman" w:hAnsi="Times New Roman"/>
          <w:color w:val="auto"/>
          <w:sz w:val="24"/>
          <w:szCs w:val="24"/>
          <w:highlight w:val="none"/>
          <w:lang w:eastAsia="zh-CN"/>
        </w:rPr>
      </w:pPr>
      <w:r>
        <w:rPr>
          <w:rFonts w:ascii="Times New Roman" w:hAnsi="Times New Roman"/>
          <w:i/>
          <w:color w:val="auto"/>
          <w:sz w:val="24"/>
          <w:szCs w:val="24"/>
          <w:highlight w:val="none"/>
          <w:lang w:eastAsia="zh-CN"/>
        </w:rPr>
        <w:t>m</w:t>
      </w:r>
      <w:r>
        <w:rPr>
          <w:rFonts w:ascii="Times New Roman" w:hAnsi="Times New Roman"/>
          <w:i/>
          <w:color w:val="auto"/>
          <w:sz w:val="24"/>
          <w:szCs w:val="24"/>
          <w:highlight w:val="none"/>
          <w:vertAlign w:val="subscript"/>
          <w:lang w:eastAsia="zh-CN"/>
        </w:rPr>
        <w:t>毛</w:t>
      </w:r>
      <w:r>
        <w:rPr>
          <w:rFonts w:hint="eastAsia"/>
          <w:color w:val="auto"/>
          <w:sz w:val="24"/>
          <w:szCs w:val="24"/>
          <w:highlight w:val="none"/>
          <w:lang w:eastAsia="zh-CN"/>
        </w:rPr>
        <w:t>—</w:t>
      </w:r>
      <w:r>
        <w:rPr>
          <w:rFonts w:ascii="Times New Roman" w:hAnsi="Times New Roman"/>
          <w:color w:val="auto"/>
          <w:sz w:val="24"/>
          <w:szCs w:val="24"/>
          <w:highlight w:val="none"/>
          <w:lang w:eastAsia="zh-CN"/>
        </w:rPr>
        <w:t>毛灌溉用水定额值，m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w:t>
      </w:r>
    </w:p>
    <w:p w14:paraId="5859F4CD">
      <w:pPr>
        <w:widowControl/>
        <w:spacing w:after="0" w:line="360" w:lineRule="auto"/>
        <w:ind w:firstLine="1135" w:firstLineChars="473"/>
        <w:rPr>
          <w:rFonts w:ascii="Times New Roman" w:hAnsi="Times New Roman"/>
          <w:color w:val="auto"/>
          <w:sz w:val="24"/>
          <w:szCs w:val="24"/>
          <w:highlight w:val="none"/>
          <w:lang w:eastAsia="zh-CN"/>
        </w:rPr>
      </w:pPr>
      <w:r>
        <w:rPr>
          <w:rFonts w:ascii="Times New Roman" w:hAnsi="Times New Roman"/>
          <w:i/>
          <w:color w:val="auto"/>
          <w:sz w:val="24"/>
          <w:szCs w:val="24"/>
          <w:highlight w:val="none"/>
          <w:lang w:eastAsia="zh-CN"/>
        </w:rPr>
        <w:t>η</w:t>
      </w:r>
      <w:r>
        <w:rPr>
          <w:rFonts w:ascii="Times New Roman" w:hAnsi="Times New Roman"/>
          <w:i/>
          <w:color w:val="auto"/>
          <w:sz w:val="24"/>
          <w:szCs w:val="24"/>
          <w:highlight w:val="none"/>
          <w:vertAlign w:val="subscript"/>
          <w:lang w:eastAsia="zh-CN"/>
        </w:rPr>
        <w:t>上</w:t>
      </w:r>
      <w:r>
        <w:rPr>
          <w:rFonts w:hint="eastAsia"/>
          <w:color w:val="auto"/>
          <w:sz w:val="24"/>
          <w:szCs w:val="24"/>
          <w:highlight w:val="none"/>
          <w:lang w:eastAsia="zh-CN"/>
        </w:rPr>
        <w:t>—</w:t>
      </w:r>
      <w:r>
        <w:rPr>
          <w:rFonts w:ascii="Times New Roman" w:hAnsi="Times New Roman"/>
          <w:color w:val="auto"/>
          <w:sz w:val="24"/>
          <w:szCs w:val="24"/>
          <w:highlight w:val="none"/>
          <w:lang w:eastAsia="zh-CN"/>
        </w:rPr>
        <w:t>规定位置以上渠系水利用系数；</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为斗口以上干、支渠两级渠道水有效利用系数的乘积；小型灌溉区灌溉用水定额规定位置为干渠取水口，即规定位置以上渠系数水利用系数为1。</w:t>
      </w:r>
    </w:p>
    <w:p w14:paraId="22BC20EC">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因项目区内</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斗口以上渠道水利用系数难以获得，本次根据《灌溉与排水工程设计标准》（GB 50288-2018）3.2.4条-3.2.10条相关内容进行估算。小型灌区灌溉水利用系数约0.7，田间水利用系数为0.95，推算出渠系水利用系数约0.75（0.7/0.95），该渠系水利用系数与</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斗口及以下渠系水利用系数相仿，因此</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斗口及以下渠系水利用系数取0.75。</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渠系水利用系数在0.55-0.65之间，为计算方便取0.6，由此可估算出</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斗口以上干、支渠两级渠道水有效利用系数为0.8（0.6/0.75）。</w:t>
      </w:r>
    </w:p>
    <w:p w14:paraId="24050411">
      <w:pPr>
        <w:widowControl/>
        <w:spacing w:after="0" w:line="360" w:lineRule="auto"/>
        <w:ind w:firstLine="480" w:firstLineChars="200"/>
        <w:rPr>
          <w:rFonts w:ascii="Times New Roman" w:hAnsi="Times New Roman"/>
          <w:color w:val="auto"/>
          <w:sz w:val="24"/>
          <w:szCs w:val="24"/>
          <w:highlight w:val="none"/>
          <w:lang w:eastAsia="zh-CN"/>
        </w:rPr>
      </w:pP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早稻毛灌溉用水定额2</w:t>
      </w:r>
      <w:r>
        <w:rPr>
          <w:rFonts w:hint="eastAsia" w:ascii="Times New Roman" w:hAnsi="Times New Roman"/>
          <w:color w:val="auto"/>
          <w:sz w:val="24"/>
          <w:szCs w:val="24"/>
          <w:highlight w:val="none"/>
          <w:lang w:val="en-US" w:eastAsia="zh-CN"/>
        </w:rPr>
        <w:t>29</w:t>
      </w:r>
      <w:r>
        <w:rPr>
          <w:rFonts w:ascii="Times New Roman" w:hAnsi="Times New Roman"/>
          <w:color w:val="auto"/>
          <w:sz w:val="24"/>
          <w:szCs w:val="24"/>
          <w:highlight w:val="none"/>
          <w:lang w:eastAsia="zh-CN"/>
        </w:rPr>
        <w:t xml:space="preserve"> 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/亩（1</w:t>
      </w:r>
      <w:r>
        <w:rPr>
          <w:rFonts w:hint="eastAsia" w:ascii="Times New Roman" w:hAnsi="Times New Roman"/>
          <w:color w:val="auto"/>
          <w:sz w:val="24"/>
          <w:szCs w:val="24"/>
          <w:highlight w:val="none"/>
          <w:lang w:val="en-US" w:eastAsia="zh-CN"/>
        </w:rPr>
        <w:t>83</w:t>
      </w:r>
      <w:r>
        <w:rPr>
          <w:rFonts w:ascii="Times New Roman" w:hAnsi="Times New Roman"/>
          <w:color w:val="auto"/>
          <w:sz w:val="24"/>
          <w:szCs w:val="24"/>
          <w:highlight w:val="none"/>
          <w:lang w:eastAsia="zh-CN"/>
        </w:rPr>
        <w:t>/0.8），</w:t>
      </w:r>
      <w:r>
        <w:rPr>
          <w:rFonts w:hint="eastAsia" w:ascii="Times New Roman" w:hAnsi="Times New Roman"/>
          <w:color w:val="auto"/>
          <w:sz w:val="24"/>
          <w:szCs w:val="24"/>
          <w:highlight w:val="none"/>
          <w:lang w:eastAsia="zh-CN"/>
        </w:rPr>
        <w:t>中型灌区</w:t>
      </w:r>
      <w:r>
        <w:rPr>
          <w:rFonts w:ascii="Times New Roman" w:hAnsi="Times New Roman"/>
          <w:color w:val="auto"/>
          <w:sz w:val="24"/>
          <w:szCs w:val="24"/>
          <w:highlight w:val="none"/>
          <w:lang w:eastAsia="zh-CN"/>
        </w:rPr>
        <w:t>晚稻毛灌溉用水定额4</w:t>
      </w:r>
      <w:r>
        <w:rPr>
          <w:rFonts w:hint="eastAsia" w:ascii="Times New Roman" w:hAnsi="Times New Roman"/>
          <w:color w:val="auto"/>
          <w:sz w:val="24"/>
          <w:szCs w:val="24"/>
          <w:highlight w:val="none"/>
          <w:lang w:val="en-US" w:eastAsia="zh-CN"/>
        </w:rPr>
        <w:t>81</w:t>
      </w:r>
      <w:r>
        <w:rPr>
          <w:rFonts w:ascii="Times New Roman" w:hAnsi="Times New Roman"/>
          <w:color w:val="auto"/>
          <w:sz w:val="24"/>
          <w:szCs w:val="24"/>
          <w:highlight w:val="none"/>
          <w:lang w:eastAsia="zh-CN"/>
        </w:rPr>
        <w:t>m</w:t>
      </w:r>
      <w:r>
        <w:rPr>
          <w:rFonts w:ascii="Times New Roman" w:hAnsi="Times New Roman"/>
          <w:color w:val="auto"/>
          <w:sz w:val="24"/>
          <w:szCs w:val="24"/>
          <w:highlight w:val="none"/>
          <w:vertAlign w:val="superscript"/>
          <w:lang w:eastAsia="zh-CN"/>
        </w:rPr>
        <w:t>3</w:t>
      </w:r>
      <w:r>
        <w:rPr>
          <w:rFonts w:ascii="Times New Roman" w:hAnsi="Times New Roman"/>
          <w:color w:val="auto"/>
          <w:sz w:val="24"/>
          <w:szCs w:val="24"/>
          <w:highlight w:val="none"/>
          <w:lang w:eastAsia="zh-CN"/>
        </w:rPr>
        <w:t>/亩（3</w:t>
      </w:r>
      <w:r>
        <w:rPr>
          <w:rFonts w:hint="eastAsia" w:ascii="Times New Roman" w:hAnsi="Times New Roman"/>
          <w:color w:val="auto"/>
          <w:sz w:val="24"/>
          <w:szCs w:val="24"/>
          <w:highlight w:val="none"/>
          <w:lang w:val="en-US" w:eastAsia="zh-CN"/>
        </w:rPr>
        <w:t>85</w:t>
      </w:r>
      <w:r>
        <w:rPr>
          <w:rFonts w:ascii="Times New Roman" w:hAnsi="Times New Roman"/>
          <w:color w:val="auto"/>
          <w:sz w:val="24"/>
          <w:szCs w:val="24"/>
          <w:highlight w:val="none"/>
          <w:lang w:eastAsia="zh-CN"/>
        </w:rPr>
        <w:t>/0.8）。</w:t>
      </w:r>
    </w:p>
    <w:p w14:paraId="524BC556">
      <w:pPr>
        <w:pStyle w:val="4"/>
        <w:bidi w:val="0"/>
      </w:pPr>
      <w:r>
        <w:rPr>
          <w:rFonts w:hint="eastAsia"/>
          <w:lang w:val="en-US" w:eastAsia="zh-CN"/>
        </w:rPr>
        <w:t xml:space="preserve">2.2.3 </w:t>
      </w:r>
      <w:r>
        <w:t>项目区水资源供需平衡分析</w:t>
      </w:r>
    </w:p>
    <w:p w14:paraId="5CC947FC">
      <w:pPr>
        <w:pStyle w:val="5"/>
        <w:bidi w:val="0"/>
      </w:pPr>
      <w:bookmarkStart w:id="42" w:name="_Toc2897"/>
      <w:r>
        <w:rPr>
          <w:rFonts w:hint="eastAsia"/>
          <w:lang w:val="en-US" w:eastAsia="zh-CN"/>
        </w:rPr>
        <w:t>2.2.3.1</w:t>
      </w:r>
      <w:r>
        <w:t>水稻灌溉制度</w:t>
      </w:r>
      <w:bookmarkEnd w:id="42"/>
    </w:p>
    <w:p w14:paraId="32DBF2E5">
      <w:pPr>
        <w:bidi w:val="0"/>
      </w:pPr>
      <w:r>
        <w:t>水稻灌溉制度采用间歇灌溉制度。</w:t>
      </w:r>
    </w:p>
    <w:p w14:paraId="1A4EE658">
      <w:pPr>
        <w:pStyle w:val="5"/>
        <w:bidi w:val="0"/>
      </w:pPr>
      <w:bookmarkStart w:id="43" w:name="_Toc24521"/>
      <w:r>
        <w:rPr>
          <w:rFonts w:hint="eastAsia"/>
          <w:lang w:val="en-US" w:eastAsia="zh-CN"/>
        </w:rPr>
        <w:t>2.2.3.2</w:t>
      </w:r>
      <w:r>
        <w:t>水量供需平衡计算</w:t>
      </w:r>
      <w:bookmarkEnd w:id="43"/>
    </w:p>
    <w:p w14:paraId="584F2159">
      <w:pPr>
        <w:bidi w:val="0"/>
        <w:rPr>
          <w:b/>
          <w:bCs/>
        </w:rPr>
      </w:pPr>
      <w:r>
        <w:rPr>
          <w:rFonts w:hint="eastAsia"/>
          <w:b/>
          <w:bCs/>
          <w:lang w:eastAsia="zh-CN"/>
        </w:rPr>
        <w:t>（</w:t>
      </w:r>
      <w:r>
        <w:rPr>
          <w:rFonts w:hint="eastAsia"/>
          <w:b/>
          <w:bCs/>
          <w:lang w:val="en-US" w:eastAsia="zh-CN"/>
        </w:rPr>
        <w:t>1</w:t>
      </w:r>
      <w:r>
        <w:rPr>
          <w:rFonts w:hint="eastAsia"/>
          <w:b/>
          <w:bCs/>
          <w:lang w:eastAsia="zh-CN"/>
        </w:rPr>
        <w:t>）</w:t>
      </w:r>
      <w:r>
        <w:rPr>
          <w:b/>
          <w:bCs/>
        </w:rPr>
        <w:t>需水量分析</w:t>
      </w:r>
    </w:p>
    <w:p w14:paraId="1381F664">
      <w:pPr>
        <w:bidi w:val="0"/>
      </w:pPr>
      <w:r>
        <w:t>作物灌溉需水量采用以下公式计算：</w:t>
      </w:r>
    </w:p>
    <w:p w14:paraId="2BA04BDF">
      <w:pPr>
        <w:bidi w:val="0"/>
        <w:jc w:val="center"/>
      </w:pPr>
      <w:r>
        <w:rPr>
          <w:position w:val="-28"/>
          <w:szCs w:val="28"/>
        </w:rPr>
        <w:pict>
          <v:shape id="_x0000_s1030" o:spid="_x0000_s1030" o:spt="75" type="#_x0000_t75" style="position:absolute;left:0pt;margin-left:184pt;margin-top:3.4pt;height:33pt;width:71.25pt;mso-wrap-distance-bottom:0pt;mso-wrap-distance-left:9pt;mso-wrap-distance-right:9pt;mso-wrap-distance-top:0pt;z-index:251663360;mso-width-relative:page;mso-height-relative:page;" o:ole="t" filled="f" o:preferrelative="t" stroked="f" coordsize="21600,21600">
            <v:path/>
            <v:fill on="f" focussize="0,0"/>
            <v:stroke on="f"/>
            <v:imagedata r:id="rId12" o:title=""/>
            <o:lock v:ext="edit" aspectratio="t"/>
            <w10:wrap type="square"/>
          </v:shape>
          <o:OLEObject Type="Embed" ProgID="Equation.3" ShapeID="_x0000_s1030" DrawAspect="Content" ObjectID="_1468075725" r:id="rId11">
            <o:LockedField>false</o:LockedField>
          </o:OLEObject>
        </w:pict>
      </w:r>
    </w:p>
    <w:p w14:paraId="7338243B">
      <w:pPr>
        <w:bidi w:val="0"/>
      </w:pPr>
    </w:p>
    <w:p w14:paraId="43EC10D2">
      <w:pPr>
        <w:bidi w:val="0"/>
      </w:pPr>
      <w:r>
        <w:t xml:space="preserve">式中： </w:t>
      </w:r>
      <w:r>
        <w:rPr>
          <w:position w:val="-12"/>
          <w:szCs w:val="28"/>
        </w:rPr>
        <w:object>
          <v:shape id="_x0000_i1025" o:spt="75" type="#_x0000_t75" style="height:18pt;width:18.75pt;" o:ole="t" filled="f" o:preferrelative="t" stroked="f" coordsize="21600,21600">
            <v:path/>
            <v:fill on="f" focussize="0,0"/>
            <v:stroke on="f"/>
            <v:imagedata r:id="rId14" o:title=""/>
            <o:lock v:ext="edit" aspectratio="t"/>
            <w10:wrap type="none"/>
            <w10:anchorlock/>
          </v:shape>
          <o:OLEObject Type="Embed" ProgID="Equation.3" ShapeID="_x0000_i1025" DrawAspect="Content" ObjectID="_1468075726" r:id="rId13">
            <o:LockedField>false</o:LockedField>
          </o:OLEObject>
        </w:object>
      </w:r>
      <w:r>
        <w:t>——项目区作物灌溉需水总量，万m</w:t>
      </w:r>
      <w:r>
        <w:rPr>
          <w:vertAlign w:val="superscript"/>
        </w:rPr>
        <w:t>3</w:t>
      </w:r>
      <w:r>
        <w:t>；</w:t>
      </w:r>
    </w:p>
    <w:p w14:paraId="73F83DF0">
      <w:pPr>
        <w:bidi w:val="0"/>
        <w:ind w:firstLine="1315" w:firstLineChars="548"/>
      </w:pPr>
      <w:r>
        <w:rPr>
          <w:szCs w:val="28"/>
        </w:rPr>
        <w:object>
          <v:shape id="_x0000_i1026" o:spt="75" type="#_x0000_t75" style="height:12.75pt;width:12pt;" o:ole="t" filled="f" o:preferrelative="t" stroked="f" coordsize="21600,21600">
            <v:path/>
            <v:fill on="f" focussize="0,0"/>
            <v:stroke on="f"/>
            <v:imagedata r:id="rId16" o:title=""/>
            <o:lock v:ext="edit" aspectratio="t"/>
            <w10:wrap type="none"/>
            <w10:anchorlock/>
          </v:shape>
          <o:OLEObject Type="Embed" ProgID="Equation.3" ShapeID="_x0000_i1026" DrawAspect="Content" ObjectID="_1468075727" r:id="rId15">
            <o:LockedField>false</o:LockedField>
          </o:OLEObject>
        </w:object>
      </w:r>
      <w:r>
        <w:t>——灌溉面积，亩；</w:t>
      </w:r>
    </w:p>
    <w:p w14:paraId="5B62B82A">
      <w:pPr>
        <w:bidi w:val="0"/>
        <w:ind w:firstLine="1315" w:firstLineChars="548"/>
      </w:pPr>
      <w:r>
        <w:rPr>
          <w:szCs w:val="28"/>
        </w:rPr>
        <w:object>
          <v:shape id="_x0000_i1027" o:spt="75" type="#_x0000_t75" style="height:12.75pt;width:15.75pt;" o:ole="t" filled="f" o:preferrelative="t" stroked="f" coordsize="21600,21600">
            <v:path/>
            <v:fill on="f" focussize="0,0"/>
            <v:stroke on="f"/>
            <v:imagedata r:id="rId18" o:title=""/>
            <o:lock v:ext="edit" aspectratio="t"/>
            <w10:wrap type="none"/>
            <w10:anchorlock/>
          </v:shape>
          <o:OLEObject Type="Embed" ProgID="Equation.3" ShapeID="_x0000_i1027" DrawAspect="Content" ObjectID="_1468075728" r:id="rId17">
            <o:LockedField>false</o:LockedField>
          </o:OLEObject>
        </w:object>
      </w:r>
      <w:r>
        <w:t>——综合亩净灌溉定额，m</w:t>
      </w:r>
      <w:r>
        <w:rPr>
          <w:vertAlign w:val="superscript"/>
        </w:rPr>
        <w:t>3</w:t>
      </w:r>
      <w:r>
        <w:t>/亩；</w:t>
      </w:r>
    </w:p>
    <w:p w14:paraId="2F87814C">
      <w:pPr>
        <w:bidi w:val="0"/>
        <w:ind w:firstLine="1315" w:firstLineChars="548"/>
      </w:pPr>
      <w:r>
        <w:rPr>
          <w:szCs w:val="28"/>
        </w:rPr>
        <w:object>
          <v:shape id="_x0000_i1028" o:spt="75" type="#_x0000_t75" style="height:12.75pt;width:9.75pt;" o:ole="t" filled="f" o:preferrelative="t" stroked="f" coordsize="21600,21600">
            <v:path/>
            <v:fill on="f" focussize="0,0"/>
            <v:stroke on="f"/>
            <v:imagedata r:id="rId20" o:title=""/>
            <o:lock v:ext="edit" aspectratio="t"/>
            <w10:wrap type="none"/>
            <w10:anchorlock/>
          </v:shape>
          <o:OLEObject Type="Embed" ProgID="Equation.3" ShapeID="_x0000_i1028" DrawAspect="Content" ObjectID="_1468075729" r:id="rId19">
            <o:LockedField>false</o:LockedField>
          </o:OLEObject>
        </w:object>
      </w:r>
      <w:r>
        <w:t xml:space="preserve">——灌溉水利用系数。 </w:t>
      </w:r>
    </w:p>
    <w:p w14:paraId="22B41C11">
      <w:pPr>
        <w:bidi w:val="0"/>
      </w:pPr>
      <w:r>
        <w:t>灌溉水利用系数为渠系水利用系数与田间水利用系数乘积，由《江西省</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t>农田灌溉工程规划报告》可知，项目区现状灌溉水利用系数为0.40-0.45，项目区为</w:t>
      </w:r>
      <w:r>
        <w:rPr>
          <w:rFonts w:hint="eastAsia"/>
          <w:lang w:val="en-US" w:eastAsia="zh-CN"/>
        </w:rPr>
        <w:t>中型和小型</w:t>
      </w:r>
      <w:r>
        <w:t>的灌区，实际现状灌溉水利用系数可参照《江西省农业用水定额》小型灌区赣</w:t>
      </w:r>
      <w:r>
        <w:rPr>
          <w:rFonts w:hint="eastAsia"/>
          <w:lang w:val="en-US" w:eastAsia="zh-CN"/>
        </w:rPr>
        <w:t>东</w:t>
      </w:r>
      <w:r>
        <w:t>北地区灌溉水利用系数取0.597，考虑渠道经过衬砌后，渠道水利用系数有所提高，建设完工后预计灌溉水利用系数可达0.75，故本次规划设计灌溉水利用系数取值0.75。经计算，项目区需水量为</w:t>
      </w:r>
      <w:r>
        <w:rPr>
          <w:rFonts w:hint="eastAsia"/>
          <w:lang w:val="en-US" w:eastAsia="zh-CN"/>
        </w:rPr>
        <w:t>49.19</w:t>
      </w:r>
      <w:r>
        <w:t>万m</w:t>
      </w:r>
      <w:r>
        <w:rPr>
          <w:vertAlign w:val="superscript"/>
        </w:rPr>
        <w:t>3</w:t>
      </w:r>
      <w:r>
        <w:t>。</w:t>
      </w:r>
    </w:p>
    <w:p w14:paraId="41E5187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宋体"/>
          <w:lang w:val="en-US" w:eastAsia="zh-CN"/>
        </w:rPr>
      </w:pPr>
      <w:r>
        <w:rPr>
          <w:rFonts w:hint="eastAsia"/>
          <w:lang w:val="en-US" w:eastAsia="zh-CN"/>
        </w:rPr>
        <w:t>表2.2-4 项目区灌溉需水量表</w:t>
      </w:r>
    </w:p>
    <w:tbl>
      <w:tblPr>
        <w:tblStyle w:val="17"/>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94"/>
        <w:gridCol w:w="1056"/>
        <w:gridCol w:w="1440"/>
        <w:gridCol w:w="1869"/>
        <w:gridCol w:w="1630"/>
        <w:gridCol w:w="1733"/>
      </w:tblGrid>
      <w:tr w14:paraId="51EA0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2"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CAD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序号</w:t>
            </w:r>
          </w:p>
        </w:tc>
        <w:tc>
          <w:tcPr>
            <w:tcW w:w="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ACB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乡镇</w:t>
            </w: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D27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行政村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03F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综合毛灌溉定额（m</w:t>
            </w:r>
            <w:r>
              <w:rPr>
                <w:rFonts w:hint="eastAsia" w:ascii="宋体" w:hAnsi="宋体" w:eastAsia="宋体" w:cs="宋体"/>
                <w:i w:val="0"/>
                <w:iCs w:val="0"/>
                <w:color w:val="000000"/>
                <w:kern w:val="0"/>
                <w:sz w:val="21"/>
                <w:szCs w:val="21"/>
                <w:u w:val="none"/>
                <w:vertAlign w:val="superscript"/>
                <w:lang w:val="en-US" w:eastAsia="zh-CN" w:bidi="ar"/>
              </w:rPr>
              <w:t>3</w:t>
            </w:r>
            <w:r>
              <w:rPr>
                <w:rFonts w:hint="eastAsia" w:ascii="宋体" w:hAnsi="宋体" w:eastAsia="宋体" w:cs="宋体"/>
                <w:i w:val="0"/>
                <w:iCs w:val="0"/>
                <w:color w:val="000000"/>
                <w:kern w:val="0"/>
                <w:sz w:val="21"/>
                <w:szCs w:val="21"/>
                <w:u w:val="none"/>
                <w:lang w:val="en-US" w:eastAsia="zh-CN" w:bidi="ar"/>
              </w:rPr>
              <w:t>/亩年）</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357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种植面积（亩）</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3F3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需水量 （万m</w:t>
            </w:r>
            <w:r>
              <w:rPr>
                <w:rFonts w:hint="eastAsia" w:ascii="宋体" w:hAnsi="宋体" w:eastAsia="宋体" w:cs="宋体"/>
                <w:i w:val="0"/>
                <w:iCs w:val="0"/>
                <w:color w:val="000000"/>
                <w:kern w:val="0"/>
                <w:sz w:val="21"/>
                <w:szCs w:val="21"/>
                <w:u w:val="none"/>
                <w:vertAlign w:val="superscript"/>
                <w:lang w:val="en-US" w:eastAsia="zh-CN" w:bidi="ar"/>
              </w:rPr>
              <w:t>3</w:t>
            </w:r>
            <w:r>
              <w:rPr>
                <w:rFonts w:hint="eastAsia" w:ascii="宋体" w:hAnsi="宋体" w:eastAsia="宋体" w:cs="宋体"/>
                <w:i w:val="0"/>
                <w:iCs w:val="0"/>
                <w:color w:val="000000"/>
                <w:kern w:val="0"/>
                <w:sz w:val="21"/>
                <w:szCs w:val="21"/>
                <w:u w:val="none"/>
                <w:lang w:val="en-US" w:eastAsia="zh-CN" w:bidi="ar"/>
              </w:rPr>
              <w:t>）</w:t>
            </w:r>
          </w:p>
        </w:tc>
      </w:tr>
      <w:tr w14:paraId="095E3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DBB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61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B34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丽阳镇</w:t>
            </w: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4BB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丽阳村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06F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1F6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131.4</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1B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12.44</w:t>
            </w:r>
          </w:p>
        </w:tc>
      </w:tr>
      <w:tr w14:paraId="645AD3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A3B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61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6E27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167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联村村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794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A49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105.12</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2FB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9.95</w:t>
            </w:r>
          </w:p>
        </w:tc>
      </w:tr>
      <w:tr w14:paraId="18CFA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5A4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619"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B66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鲇鱼山镇</w:t>
            </w: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2A3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凤岗村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5BC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9BD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84.41</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BD8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7.99</w:t>
            </w:r>
          </w:p>
        </w:tc>
      </w:tr>
      <w:tr w14:paraId="604AC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D24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61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7F2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65C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关山村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AED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9FB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85.79</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36F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8.12</w:t>
            </w:r>
          </w:p>
        </w:tc>
      </w:tr>
      <w:tr w14:paraId="57B8E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271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5</w:t>
            </w:r>
          </w:p>
        </w:tc>
        <w:tc>
          <w:tcPr>
            <w:tcW w:w="61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373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0AE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新柳村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D0C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582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59.25</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7B6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5.61</w:t>
            </w:r>
          </w:p>
        </w:tc>
      </w:tr>
      <w:tr w14:paraId="66663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0F8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6</w:t>
            </w:r>
          </w:p>
        </w:tc>
        <w:tc>
          <w:tcPr>
            <w:tcW w:w="61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F3C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28F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鱼山村</w:t>
            </w:r>
          </w:p>
        </w:tc>
        <w:tc>
          <w:tcPr>
            <w:tcW w:w="10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792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710</w:t>
            </w: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C97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53.64</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A8C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5.08</w:t>
            </w:r>
          </w:p>
        </w:tc>
      </w:tr>
      <w:tr w14:paraId="32223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4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D19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7</w:t>
            </w:r>
          </w:p>
        </w:tc>
        <w:tc>
          <w:tcPr>
            <w:tcW w:w="14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E13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合计</w:t>
            </w:r>
          </w:p>
        </w:tc>
        <w:tc>
          <w:tcPr>
            <w:tcW w:w="10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48F9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449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519.61</w:t>
            </w:r>
          </w:p>
        </w:tc>
        <w:tc>
          <w:tcPr>
            <w:tcW w:w="10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6B4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49.19</w:t>
            </w:r>
          </w:p>
        </w:tc>
      </w:tr>
    </w:tbl>
    <w:p w14:paraId="0368D4EF">
      <w:pPr>
        <w:bidi w:val="0"/>
        <w:rPr>
          <w:rFonts w:hint="eastAsia"/>
          <w:b/>
          <w:bCs/>
          <w:lang w:eastAsia="zh-CN"/>
        </w:rPr>
      </w:pPr>
    </w:p>
    <w:p w14:paraId="5083E3D2">
      <w:pPr>
        <w:bidi w:val="0"/>
        <w:rPr>
          <w:b/>
          <w:bCs/>
        </w:rPr>
      </w:pPr>
      <w:r>
        <w:rPr>
          <w:rFonts w:hint="eastAsia"/>
          <w:b/>
          <w:bCs/>
          <w:lang w:eastAsia="zh-CN"/>
        </w:rPr>
        <w:t>（</w:t>
      </w:r>
      <w:r>
        <w:rPr>
          <w:rFonts w:hint="eastAsia"/>
          <w:b/>
          <w:bCs/>
          <w:lang w:val="en-US" w:eastAsia="zh-CN"/>
        </w:rPr>
        <w:t>2</w:t>
      </w:r>
      <w:r>
        <w:rPr>
          <w:rFonts w:hint="eastAsia"/>
          <w:b/>
          <w:bCs/>
          <w:lang w:eastAsia="zh-CN"/>
        </w:rPr>
        <w:t>）</w:t>
      </w:r>
      <w:r>
        <w:rPr>
          <w:b/>
          <w:bCs/>
        </w:rPr>
        <w:t>可供水量分析</w:t>
      </w:r>
    </w:p>
    <w:p w14:paraId="6DE6927D">
      <w:pPr>
        <w:bidi w:val="0"/>
        <w:rPr>
          <w:rFonts w:hint="eastAsia"/>
        </w:rPr>
      </w:pPr>
      <w:r>
        <w:rPr>
          <w:rFonts w:hint="eastAsia"/>
          <w:lang w:val="en-US" w:eastAsia="zh-CN"/>
        </w:rPr>
        <w:t>1</w:t>
      </w:r>
      <w:r>
        <w:rPr>
          <w:rFonts w:hint="eastAsia"/>
        </w:rPr>
        <w:t>）可供水量分析</w:t>
      </w:r>
    </w:p>
    <w:p w14:paraId="426FF0FE">
      <w:pPr>
        <w:bidi w:val="0"/>
      </w:pPr>
      <w:r>
        <w:rPr>
          <w:rFonts w:hint="eastAsia"/>
        </w:rPr>
        <w:t>可供水量即可利用水量，是指所有水利工程（包括现有和设计的蓄、引、提工程）可提供的水量。经实地调查，项目区各片区受地形及线状灌排体系形成多个独立中小灌区，水源较为复杂，有河流、溪流、山塘、水库和山泉水供水。</w:t>
      </w:r>
    </w:p>
    <w:p w14:paraId="6BA440A0">
      <w:pPr>
        <w:bidi w:val="0"/>
      </w:pPr>
      <w:r>
        <w:rPr>
          <w:rFonts w:hint="eastAsia"/>
        </w:rPr>
        <w:t>各独立小灌区供水情况计算采用如下方式：</w:t>
      </w:r>
    </w:p>
    <w:p w14:paraId="6BE77AE9">
      <w:pPr>
        <w:bidi w:val="0"/>
      </w:pPr>
      <w:r>
        <w:rPr>
          <w:rFonts w:hint="eastAsia"/>
          <w:lang w:val="en-US" w:eastAsia="zh-CN"/>
        </w:rPr>
        <w:t>①</w:t>
      </w:r>
      <w:r>
        <w:rPr>
          <w:rFonts w:hint="eastAsia"/>
        </w:rPr>
        <w:t>山涧溪流可供水量用下列公式计算：</w:t>
      </w:r>
    </w:p>
    <w:p w14:paraId="6C213D38">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szCs w:val="28"/>
        </w:rPr>
        <w:object>
          <v:shape id="_x0000_i1029" o:spt="75" type="#_x0000_t75" style="height:13.5pt;width:8.25pt;" o:ole="t" filled="f" o:preferrelative="t" stroked="f" coordsize="21600,21600">
            <v:path/>
            <v:fill on="f" focussize="0,0"/>
            <v:stroke on="f"/>
            <v:imagedata r:id="rId22" o:title=""/>
            <o:lock v:ext="edit" aspectratio="t"/>
            <w10:wrap type="none"/>
            <w10:anchorlock/>
          </v:shape>
          <o:OLEObject Type="Embed" ProgID="Equation.DSMT4" ShapeID="_x0000_i1029" DrawAspect="Content" ObjectID="_1468075730" r:id="rId21">
            <o:LockedField>false</o:LockedField>
          </o:OLEObject>
        </w:object>
      </w:r>
      <w:r>
        <w:rPr>
          <w:rFonts w:hint="eastAsia"/>
          <w:szCs w:val="28"/>
        </w:rPr>
        <w:object>
          <v:shape id="_x0000_i1030" o:spt="75" type="#_x0000_t75" style="height:13.5pt;width:8.25pt;" o:ole="t" filled="f" o:preferrelative="t" stroked="f" coordsize="21600,21600">
            <v:path/>
            <v:fill on="f" focussize="0,0"/>
            <v:stroke on="f"/>
            <v:imagedata r:id="rId22" o:title=""/>
            <o:lock v:ext="edit" aspectratio="t"/>
            <w10:wrap type="none"/>
            <w10:anchorlock/>
          </v:shape>
          <o:OLEObject Type="Embed" ProgID="Equation.DSMT4" ShapeID="_x0000_i1030" DrawAspect="Content" ObjectID="_1468075731" r:id="rId23">
            <o:LockedField>false</o:LockedField>
          </o:OLEObject>
        </w:object>
      </w:r>
      <w:r>
        <w:rPr>
          <w:rFonts w:hint="eastAsia"/>
          <w:szCs w:val="28"/>
        </w:rPr>
        <w:object>
          <v:shape id="_x0000_i1031" o:spt="75" type="#_x0000_t75" style="height:17.25pt;width:119.25pt;" o:ole="t" filled="f" o:preferrelative="t" stroked="f" coordsize="21600,21600">
            <v:path/>
            <v:fill on="f" focussize="0,0"/>
            <v:stroke on="f"/>
            <v:imagedata r:id="rId25" o:title=""/>
            <o:lock v:ext="edit" aspectratio="t"/>
            <w10:wrap type="none"/>
            <w10:anchorlock/>
          </v:shape>
          <o:OLEObject Type="Embed" ProgID="Equation.DSMT4" ShapeID="_x0000_i1031" DrawAspect="Content" ObjectID="_1468075732" r:id="rId24">
            <o:LockedField>false</o:LockedField>
          </o:OLEObject>
        </w:object>
      </w:r>
    </w:p>
    <w:p w14:paraId="243B2DD5">
      <w:pPr>
        <w:bidi w:val="0"/>
      </w:pPr>
      <w:r>
        <w:rPr>
          <w:rFonts w:hint="eastAsia"/>
        </w:rPr>
        <w:t>式中：N—年降水量，mm，此处为1</w:t>
      </w:r>
      <w:r>
        <w:rPr>
          <w:rFonts w:hint="eastAsia"/>
          <w:lang w:val="en-US" w:eastAsia="zh-CN"/>
        </w:rPr>
        <w:t>750</w:t>
      </w:r>
      <w:r>
        <w:rPr>
          <w:rFonts w:hint="eastAsia"/>
        </w:rPr>
        <w:t>mm。</w:t>
      </w:r>
    </w:p>
    <w:p w14:paraId="2E4F8012">
      <w:pPr>
        <w:bidi w:val="0"/>
      </w:pPr>
      <w:r>
        <w:rPr>
          <w:rFonts w:hint="eastAsia"/>
        </w:rPr>
        <w:t>H—山涧溪流汇水面积，㎡。</w:t>
      </w:r>
    </w:p>
    <w:p w14:paraId="7C77C00B">
      <w:pPr>
        <w:bidi w:val="0"/>
      </w:pPr>
      <w:r>
        <w:rPr>
          <w:rFonts w:hint="eastAsia"/>
        </w:rPr>
        <w:t>i—产流系数取0.9。</w:t>
      </w:r>
    </w:p>
    <w:p w14:paraId="47862BD8">
      <w:pPr>
        <w:bidi w:val="0"/>
      </w:pPr>
      <w:r>
        <w:rPr>
          <w:rFonts w:hint="eastAsia"/>
          <w:lang w:val="en-US" w:eastAsia="zh-CN"/>
        </w:rPr>
        <w:t>②</w:t>
      </w:r>
      <w:r>
        <w:rPr>
          <w:rFonts w:hint="eastAsia"/>
        </w:rPr>
        <w:t>原有水陂取水可供水量采用统计枯水期和丰水期的出水量得出，公式如下：</w:t>
      </w:r>
    </w:p>
    <w:p w14:paraId="58BB3687">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szCs w:val="28"/>
        </w:rPr>
        <w:object>
          <v:shape id="_x0000_i1032" o:spt="75" type="#_x0000_t75" style="height:17.25pt;width:176.25pt;" o:ole="t" filled="f" o:preferrelative="t" stroked="f" coordsize="21600,21600">
            <v:path/>
            <v:fill on="f" focussize="0,0"/>
            <v:stroke on="f"/>
            <v:imagedata r:id="rId27" o:title=""/>
            <o:lock v:ext="edit" aspectratio="t"/>
            <w10:wrap type="none"/>
            <w10:anchorlock/>
          </v:shape>
          <o:OLEObject Type="Embed" ProgID="Equation.DSMT4" ShapeID="_x0000_i1032" DrawAspect="Content" ObjectID="_1468075733" r:id="rId26">
            <o:LockedField>false</o:LockedField>
          </o:OLEObject>
        </w:object>
      </w:r>
    </w:p>
    <w:p w14:paraId="227001A2">
      <w:pPr>
        <w:bidi w:val="0"/>
        <w:rPr>
          <w:szCs w:val="28"/>
        </w:rPr>
      </w:pPr>
      <w:r>
        <w:rPr>
          <w:rFonts w:hint="eastAsia"/>
        </w:rPr>
        <w:t>式中：K1，K2，K3—分别为枯水期一天统计的出水量、丰水期一天统计的出水量及稳定期一天统计的出水量，m</w:t>
      </w:r>
      <w:r>
        <w:t>³</w:t>
      </w:r>
      <w:r>
        <w:rPr>
          <w:rFonts w:hint="eastAsia"/>
        </w:rPr>
        <w:t>/d，此处为K1取</w:t>
      </w:r>
      <w:r>
        <w:rPr>
          <w:rFonts w:hint="eastAsia"/>
          <w:szCs w:val="28"/>
        </w:rPr>
        <w:t>541m</w:t>
      </w:r>
      <w:r>
        <w:rPr>
          <w:szCs w:val="28"/>
        </w:rPr>
        <w:t>³</w:t>
      </w:r>
      <w:r>
        <w:rPr>
          <w:rFonts w:hint="eastAsia"/>
          <w:szCs w:val="28"/>
        </w:rPr>
        <w:t>/d，K2取1852m</w:t>
      </w:r>
      <w:r>
        <w:rPr>
          <w:szCs w:val="28"/>
        </w:rPr>
        <w:t>³</w:t>
      </w:r>
      <w:r>
        <w:rPr>
          <w:rFonts w:hint="eastAsia"/>
          <w:szCs w:val="28"/>
        </w:rPr>
        <w:t>/d，K3取1036m</w:t>
      </w:r>
      <w:r>
        <w:rPr>
          <w:szCs w:val="28"/>
        </w:rPr>
        <w:t>³</w:t>
      </w:r>
      <w:r>
        <w:rPr>
          <w:rFonts w:hint="eastAsia"/>
          <w:szCs w:val="28"/>
        </w:rPr>
        <w:t>/d。</w:t>
      </w:r>
    </w:p>
    <w:p w14:paraId="35AF4983">
      <w:pPr>
        <w:bidi w:val="0"/>
      </w:pPr>
      <w:r>
        <w:rPr>
          <w:rFonts w:hint="eastAsia"/>
        </w:rPr>
        <w:t>T1，T2，T3—分别为枯水期天数、丰水期天数及稳定期天数，d。</w:t>
      </w:r>
    </w:p>
    <w:p w14:paraId="66582C0D">
      <w:pPr>
        <w:bidi w:val="0"/>
      </w:pPr>
      <w:r>
        <w:rPr>
          <w:rFonts w:hint="eastAsia"/>
        </w:rPr>
        <w:t>3）水库来水</w:t>
      </w:r>
    </w:p>
    <w:p w14:paraId="2E24D9CD">
      <w:pPr>
        <w:bidi w:val="0"/>
      </w:pPr>
      <w:r>
        <w:rPr>
          <w:rFonts w:hint="eastAsia"/>
        </w:rPr>
        <w:t>根据实地走访，引水渠道水源均来自上游水库，对流经项目区的主干流进行平均宽度、深度，常年平均流量等进行记录，并征询各方意见及结合农业生产平均供水时间，现状渠道灌溉贡献按30%</w:t>
      </w:r>
      <w:r>
        <w:rPr>
          <w:rFonts w:hint="eastAsia"/>
          <w:lang w:eastAsia="zh-CN"/>
        </w:rPr>
        <w:t>计算</w:t>
      </w:r>
      <w:r>
        <w:rPr>
          <w:rFonts w:hint="eastAsia"/>
        </w:rPr>
        <w:t>，灌溉水利用系数取0.75，测算各渠道可供水量可采用以下公式：</w:t>
      </w:r>
    </w:p>
    <w:p w14:paraId="5A0D3100">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rPr>
        <w:t>W1供=8.64QT*30%*0.75</w:t>
      </w:r>
    </w:p>
    <w:p w14:paraId="7C1A9C5A">
      <w:pPr>
        <w:bidi w:val="0"/>
      </w:pPr>
      <w:r>
        <w:rPr>
          <w:rFonts w:hint="eastAsia"/>
        </w:rPr>
        <w:t>式中：W1－作物生育期内</w:t>
      </w:r>
      <w:r>
        <w:rPr>
          <w:rFonts w:hint="eastAsia"/>
          <w:lang w:eastAsia="zh-CN"/>
        </w:rPr>
        <w:t>可饮用</w:t>
      </w:r>
      <w:r>
        <w:rPr>
          <w:rFonts w:hint="eastAsia"/>
        </w:rPr>
        <w:t>的水量，m</w:t>
      </w:r>
      <w:r>
        <w:t>³</w:t>
      </w:r>
      <w:r>
        <w:rPr>
          <w:rFonts w:hint="eastAsia"/>
        </w:rPr>
        <w:t>；</w:t>
      </w:r>
    </w:p>
    <w:p w14:paraId="194DB21D">
      <w:pPr>
        <w:bidi w:val="0"/>
      </w:pPr>
      <w:r>
        <w:rPr>
          <w:rFonts w:hint="eastAsia"/>
        </w:rPr>
        <w:t>Q－作物生育期内渠道引用的水量，m</w:t>
      </w:r>
      <w:r>
        <w:t>³</w:t>
      </w:r>
      <w:r>
        <w:rPr>
          <w:rFonts w:hint="eastAsia"/>
        </w:rPr>
        <w:t>/s；</w:t>
      </w:r>
    </w:p>
    <w:p w14:paraId="747ABB53">
      <w:pPr>
        <w:bidi w:val="0"/>
      </w:pPr>
      <w:r>
        <w:rPr>
          <w:rFonts w:hint="eastAsia"/>
        </w:rPr>
        <w:t>T－作物生育期内渠道实际引水时间，d；</w:t>
      </w:r>
    </w:p>
    <w:p w14:paraId="2ED42325">
      <w:pPr>
        <w:bidi w:val="0"/>
      </w:pPr>
      <w:r>
        <w:rPr>
          <w:rFonts w:hint="eastAsia"/>
        </w:rPr>
        <w:t>4）提灌站提水</w:t>
      </w:r>
    </w:p>
    <w:p w14:paraId="4B2B48F1">
      <w:pPr>
        <w:bidi w:val="0"/>
      </w:pPr>
      <w:r>
        <w:rPr>
          <w:rFonts w:hint="eastAsia"/>
        </w:rPr>
        <w:t>提灌站按20小时运行，运行周期按7月～9月2个月计算，具体测算可采用以下公式。</w:t>
      </w:r>
    </w:p>
    <w:p w14:paraId="4BE7D331">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szCs w:val="28"/>
        </w:rPr>
        <w:object>
          <v:shape id="_x0000_i1033" o:spt="75" type="#_x0000_t75" style="height:22.45pt;width:64.5pt;" o:ole="t" filled="f" o:preferrelative="t" stroked="f" coordsize="21600,21600">
            <v:path/>
            <v:fill on="f" focussize="0,0"/>
            <v:stroke on="f"/>
            <v:imagedata r:id="rId29" o:title=""/>
            <o:lock v:ext="edit" aspectratio="t"/>
            <w10:wrap type="none"/>
            <w10:anchorlock/>
          </v:shape>
          <o:OLEObject Type="Embed" ProgID="Equation.3" ShapeID="_x0000_i1033" DrawAspect="Content" ObjectID="_1468075734" r:id="rId28">
            <o:LockedField>false</o:LockedField>
          </o:OLEObject>
        </w:object>
      </w:r>
    </w:p>
    <w:p w14:paraId="375DBD56">
      <w:pPr>
        <w:bidi w:val="0"/>
      </w:pPr>
      <w:r>
        <w:rPr>
          <w:rFonts w:hint="eastAsia"/>
        </w:rPr>
        <w:t>式中：K—提灌站的出水率，m</w:t>
      </w:r>
      <w:r>
        <w:t>³</w:t>
      </w:r>
      <w:r>
        <w:rPr>
          <w:rFonts w:hint="eastAsia"/>
        </w:rPr>
        <w:t>/s。</w:t>
      </w:r>
    </w:p>
    <w:p w14:paraId="7C207C71">
      <w:pPr>
        <w:bidi w:val="0"/>
        <w:rPr>
          <w:rFonts w:hint="eastAsia"/>
        </w:rPr>
      </w:pPr>
      <w:r>
        <w:rPr>
          <w:rFonts w:hint="eastAsia"/>
        </w:rPr>
        <w:t>T—为提灌站运行时间，s，此处的T取20*60*3600s。</w:t>
      </w:r>
    </w:p>
    <w:p w14:paraId="301C4ADE">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rPr>
      </w:pPr>
      <w:r>
        <w:rPr>
          <w:rFonts w:hint="eastAsia"/>
        </w:rPr>
        <w:t>经实地踏勘估测，并结合当地水文资料综合推算出，项目区的现状可供水量共计</w:t>
      </w:r>
      <w:r>
        <w:rPr>
          <w:rFonts w:hint="eastAsia"/>
          <w:lang w:val="en-US" w:eastAsia="zh-CN"/>
        </w:rPr>
        <w:t>214</w:t>
      </w:r>
      <w:r>
        <w:rPr>
          <w:rFonts w:hint="eastAsia"/>
        </w:rPr>
        <w:t>万m</w:t>
      </w:r>
      <w:r>
        <w:t>³</w:t>
      </w:r>
      <w:r>
        <w:rPr>
          <w:rFonts w:hint="eastAsia"/>
        </w:rPr>
        <w:t>。</w:t>
      </w:r>
    </w:p>
    <w:p w14:paraId="6DA3D4B1">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lang w:val="en-US" w:eastAsia="zh-CN"/>
        </w:rPr>
        <w:t>表2.2-5</w:t>
      </w:r>
      <w:r>
        <w:t xml:space="preserve"> 项目区</w:t>
      </w:r>
      <w:r>
        <w:rPr>
          <w:rFonts w:hint="eastAsia"/>
        </w:rPr>
        <w:t>现状年供水量</w:t>
      </w:r>
      <w:r>
        <w:t>分析</w:t>
      </w:r>
      <w:r>
        <w:rPr>
          <w:rFonts w:hint="eastAsia"/>
        </w:rPr>
        <w:t>成果</w:t>
      </w:r>
      <w:r>
        <w:t>表</w:t>
      </w:r>
    </w:p>
    <w:tbl>
      <w:tblPr>
        <w:tblStyle w:val="17"/>
        <w:tblW w:w="96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57"/>
        <w:gridCol w:w="1056"/>
        <w:gridCol w:w="938"/>
        <w:gridCol w:w="1266"/>
        <w:gridCol w:w="938"/>
        <w:gridCol w:w="909"/>
        <w:gridCol w:w="909"/>
        <w:gridCol w:w="909"/>
        <w:gridCol w:w="909"/>
        <w:gridCol w:w="909"/>
      </w:tblGrid>
      <w:tr w14:paraId="29FD0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8" w:hRule="atLeast"/>
          <w:jc w:val="center"/>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C153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56F9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乡镇名称</w:t>
            </w: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B269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片区名称</w:t>
            </w: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1A77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项目区水源情况</w:t>
            </w:r>
          </w:p>
        </w:tc>
        <w:tc>
          <w:tcPr>
            <w:tcW w:w="9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1CF6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所在河流</w:t>
            </w:r>
          </w:p>
        </w:tc>
        <w:tc>
          <w:tcPr>
            <w:tcW w:w="480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414F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现状年供水量</w:t>
            </w:r>
          </w:p>
        </w:tc>
      </w:tr>
      <w:tr w14:paraId="00807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2" w:hRule="atLeast"/>
          <w:jc w:val="center"/>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D8A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33A5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9F303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1F1C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EFC3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CAB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山塘可供水量（万m3）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1C6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水库可供水量（万m3）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8F1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陂闸、山泉等可供水量（万m3）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116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泵站、机井等可供水量（万m3）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1D6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现状可供水量（万m3）</w:t>
            </w:r>
          </w:p>
        </w:tc>
      </w:tr>
      <w:tr w14:paraId="369AA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0B6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B52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049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F25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山田水库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A19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425A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3E5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308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FE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A21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r>
      <w:tr w14:paraId="35A3F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21A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D0EB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CEA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联村村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945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山田水库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39E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42B0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C91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82EC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CA2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6E7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w:t>
            </w:r>
          </w:p>
        </w:tc>
      </w:tr>
      <w:tr w14:paraId="024C8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538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80A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鲇鱼山镇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10B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凤岗村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C07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提灌站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2DF5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798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FCC8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1BCA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90F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508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r>
      <w:tr w14:paraId="7FE8D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027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73ED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C78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关山村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B68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长亭坂水库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8FE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昌江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F868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B53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8C9D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84DF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929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r>
      <w:tr w14:paraId="1CE03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394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8838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2B5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新柳村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AB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油麻坞水库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931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D9A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3DC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AD3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A4B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A82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r>
      <w:tr w14:paraId="107EA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CD3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E31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A81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鱼山村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CC7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汪家坞水库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445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昌江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3E1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D14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E7E8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7282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BFD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r>
      <w:tr w14:paraId="534B5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27D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065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CDBD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B1C3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53DC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F0B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1C7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893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1E0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w:t>
            </w:r>
          </w:p>
        </w:tc>
      </w:tr>
    </w:tbl>
    <w:p w14:paraId="04512B1F">
      <w:pPr>
        <w:keepNext w:val="0"/>
        <w:keepLines w:val="0"/>
        <w:pageBreakBefore w:val="0"/>
        <w:widowControl w:val="0"/>
        <w:kinsoku/>
        <w:wordWrap/>
        <w:overflowPunct/>
        <w:topLinePunct w:val="0"/>
        <w:autoSpaceDE/>
        <w:autoSpaceDN/>
        <w:bidi w:val="0"/>
        <w:adjustRightInd/>
        <w:snapToGrid/>
        <w:ind w:firstLine="0" w:firstLineChars="0"/>
        <w:jc w:val="left"/>
        <w:textAlignment w:val="auto"/>
      </w:pPr>
    </w:p>
    <w:p w14:paraId="6D1B6490">
      <w:pPr>
        <w:pStyle w:val="5"/>
        <w:bidi w:val="0"/>
        <w:jc w:val="both"/>
      </w:pPr>
      <w:bookmarkStart w:id="44" w:name="_Toc6831"/>
      <w:r>
        <w:rPr>
          <w:rFonts w:hint="eastAsia"/>
          <w:lang w:val="en-US" w:eastAsia="zh-CN"/>
        </w:rPr>
        <w:t>2.2.3.3</w:t>
      </w:r>
      <w:r>
        <w:t>供需平衡分析</w:t>
      </w:r>
      <w:bookmarkEnd w:id="44"/>
    </w:p>
    <w:p w14:paraId="7F96125E">
      <w:pPr>
        <w:bidi w:val="0"/>
        <w:rPr>
          <w:rFonts w:hint="eastAsia"/>
        </w:rPr>
      </w:pPr>
      <w:r>
        <w:t>项目区可供水量均大于需水量，水量有盈余，水源可满足区片灌溉需求</w:t>
      </w:r>
      <w:r>
        <w:rPr>
          <w:rFonts w:hint="eastAsia"/>
        </w:rPr>
        <w:t>。</w:t>
      </w:r>
    </w:p>
    <w:p w14:paraId="69F3E01B">
      <w:pPr>
        <w:rPr>
          <w:rFonts w:hint="eastAsia"/>
          <w:lang w:val="en-US" w:eastAsia="zh-CN"/>
        </w:rPr>
      </w:pPr>
      <w:r>
        <w:rPr>
          <w:rFonts w:hint="eastAsia"/>
          <w:lang w:val="en-US" w:eastAsia="zh-CN"/>
        </w:rPr>
        <w:br w:type="page"/>
      </w:r>
    </w:p>
    <w:p w14:paraId="57CED55A">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lang w:val="en-US" w:eastAsia="zh-CN"/>
        </w:rPr>
        <w:t xml:space="preserve">表2.2-7 </w:t>
      </w:r>
      <w:r>
        <w:t>项目区水量供需平衡分析表</w:t>
      </w:r>
    </w:p>
    <w:tbl>
      <w:tblPr>
        <w:tblStyle w:val="17"/>
        <w:tblW w:w="87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58"/>
        <w:gridCol w:w="1056"/>
        <w:gridCol w:w="938"/>
        <w:gridCol w:w="1266"/>
        <w:gridCol w:w="938"/>
        <w:gridCol w:w="910"/>
        <w:gridCol w:w="910"/>
        <w:gridCol w:w="1026"/>
        <w:gridCol w:w="858"/>
      </w:tblGrid>
      <w:tr w14:paraId="62ACD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2" w:hRule="atLeast"/>
          <w:jc w:val="center"/>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DDF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0B3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乡镇名称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9CE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片区名称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DF3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项目区水源情况</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9D0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所在河流</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C03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现状可供水量（万m3）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DFA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灌溉需水量（万m3）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51B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供需平衡差（万m3）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396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备注</w:t>
            </w:r>
          </w:p>
        </w:tc>
      </w:tr>
      <w:tr w14:paraId="2668A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4F5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AC3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263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0C8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山田水库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C20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丽阳水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8F3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18B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12.44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7DB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76.56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A421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68DCD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CF7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D83F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4EC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联村村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AB9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山田水库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7D6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CFB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C77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9.95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072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25.05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2703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29C33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89A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4F6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鲇鱼山镇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5CF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凤岗村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369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提灌站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26DF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EA9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811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7.99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906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4E66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3A52E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B10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A61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E13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关山村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C49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长亭坂水库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F88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昌江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332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957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8.12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042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15.88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861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4076A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708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16E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138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新柳村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A34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油麻坞水库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F33A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81C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BDE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5.61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DAD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13.39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B197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74270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53D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6</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3749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E80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鱼山村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9DD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汪家坞水库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149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昌江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DD4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D6D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5.08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B95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19.92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FF0D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131D3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615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7</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47F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A0B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8BA8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5FA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810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49.19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8B6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164.81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262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bl>
    <w:p w14:paraId="2352757C">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p>
    <w:p w14:paraId="59CD704E">
      <w:pPr>
        <w:bidi w:val="0"/>
        <w:rPr>
          <w:highlight w:val="yellow"/>
        </w:rPr>
        <w:sectPr>
          <w:pgSz w:w="11906" w:h="16838"/>
          <w:pgMar w:top="1440" w:right="1800" w:bottom="1440" w:left="1800" w:header="851" w:footer="992" w:gutter="0"/>
          <w:pgNumType w:fmt="decimal"/>
          <w:cols w:space="425" w:num="1"/>
          <w:docGrid w:type="lines" w:linePitch="312" w:charSpace="0"/>
        </w:sectPr>
      </w:pPr>
    </w:p>
    <w:p w14:paraId="0567DF38">
      <w:pPr>
        <w:pStyle w:val="2"/>
        <w:bidi w:val="0"/>
        <w:rPr>
          <w:rFonts w:hint="eastAsia"/>
          <w:lang w:val="en-US" w:eastAsia="zh-CN"/>
        </w:rPr>
      </w:pPr>
      <w:bookmarkStart w:id="45" w:name="_Toc28769"/>
      <w:r>
        <w:rPr>
          <w:rFonts w:hint="eastAsia"/>
          <w:lang w:val="en-US" w:eastAsia="zh-CN"/>
        </w:rPr>
        <w:t>第三章  工程规划</w:t>
      </w:r>
      <w:bookmarkEnd w:id="45"/>
    </w:p>
    <w:p w14:paraId="78259BBF">
      <w:pPr>
        <w:pStyle w:val="3"/>
        <w:bidi w:val="0"/>
      </w:pPr>
      <w:bookmarkStart w:id="46" w:name="_Toc30615"/>
      <w:r>
        <w:rPr>
          <w:rFonts w:hint="eastAsia"/>
          <w:lang w:val="en-US" w:eastAsia="zh-CN"/>
        </w:rPr>
        <w:t xml:space="preserve">3.1 </w:t>
      </w:r>
      <w:r>
        <w:t>农田基础设施建设工程规划</w:t>
      </w:r>
      <w:bookmarkEnd w:id="46"/>
    </w:p>
    <w:p w14:paraId="32D85CAD">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项目区各片区地形条件、生态环境脆弱程度不一，因此，项目区内各片区土地平整工程在充分考虑可能造成的水土流失及生态安全风险的基础上进行布局，对田块高差过大，土方开挖可能造成水土流失大，生态较脆弱的区片不进行土地平整或有针对性的局部田块平整。在土地平整的基础上，结合道路工程和灌排工程布局田块。田块设置本着有利于作物的生长发育，有利于田间机械作业，有利于水土保持的原则，但由于考虑尽可能利用原有的道路、沟渠，尽可能结合原有地形地貌，因此田块方向在具体地块不尽一致。</w:t>
      </w:r>
    </w:p>
    <w:p w14:paraId="6749FD94">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项目区地势比较低洼、地下水位较高，布置田间渠应达到能灌、能排的要求。鉴于渠道有老化、渗漏等现象，为此必须对原有渠道进行防渗加固改造，以满足项目区对水利的要求。</w:t>
      </w:r>
    </w:p>
    <w:p w14:paraId="348EF4B4">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根据项目区及其外围的地形地势和水文水资源情况，水利设施规划主要按灌排形式布设，采取“两灌一排”灌排方式，部分因现有条件可考虑布置灌排合一的形式。垄田区域选择地势高一侧傍路布设渠道，地势较低一侧布设沟道；进行土地平整区域主干沟渠尽量平行于等高线布设或沿用原有水系进行改建；农渠农沟一般垂直等高线布设，采用两灌一排形式，渠道布设于道路两侧，沟道位于两渠道中间，与</w:t>
      </w:r>
      <w:r>
        <w:rPr>
          <w:rFonts w:hint="eastAsia"/>
          <w:color w:val="auto"/>
          <w:sz w:val="24"/>
          <w:szCs w:val="24"/>
          <w:highlight w:val="none"/>
          <w:lang w:eastAsia="zh-CN"/>
        </w:rPr>
        <w:t>其他</w:t>
      </w:r>
      <w:r>
        <w:rPr>
          <w:rFonts w:ascii="Times New Roman" w:hAnsi="Times New Roman"/>
          <w:color w:val="auto"/>
          <w:sz w:val="24"/>
          <w:szCs w:val="24"/>
          <w:highlight w:val="none"/>
          <w:lang w:eastAsia="zh-CN"/>
        </w:rPr>
        <w:t>灌排方式相比，既满足高标准农田建设灌排分离的要求，同时也节约用地，避免田间基础设施占地率过大；在未进行土地平整区域，沟渠尽量沿用原有水系，对原有水系进行改建，满足溉排要求，避免出现田块漏灌或漏排现象。</w:t>
      </w:r>
    </w:p>
    <w:p w14:paraId="78B474BF">
      <w:pPr>
        <w:spacing w:after="0" w:line="360" w:lineRule="auto"/>
        <w:ind w:firstLine="480" w:firstLineChars="200"/>
        <w:rPr>
          <w:rFonts w:ascii="Times New Roman" w:hAnsi="Times New Roman" w:cs="Times New Roman"/>
          <w:color w:val="auto"/>
          <w:sz w:val="24"/>
          <w:szCs w:val="24"/>
          <w:highlight w:val="none"/>
          <w:lang w:eastAsia="zh-CN"/>
        </w:rPr>
      </w:pPr>
      <w:r>
        <w:rPr>
          <w:rFonts w:ascii="Times New Roman" w:hAnsi="Times New Roman"/>
          <w:color w:val="auto"/>
          <w:sz w:val="24"/>
          <w:szCs w:val="24"/>
          <w:highlight w:val="none"/>
          <w:lang w:eastAsia="zh-CN"/>
        </w:rPr>
        <w:t>在项目区范围内的道路一般可分为主干道、支道、机耕道和生产路四级。在规划方案中，主要布置机耕道和生产路，考虑到大型农耕机械的进出和物资需求量的特点和未来发展以及项目区实际情况，充分利用现有机耕道、田间道，在完善道路框架的基础上，布设机械下田和农民耕作的道路</w:t>
      </w:r>
      <w:r>
        <w:rPr>
          <w:rFonts w:ascii="Times New Roman" w:hAnsi="Times New Roman" w:cs="Times New Roman"/>
          <w:color w:val="auto"/>
          <w:sz w:val="24"/>
          <w:szCs w:val="24"/>
          <w:highlight w:val="none"/>
          <w:lang w:eastAsia="zh-CN"/>
        </w:rPr>
        <w:t>。</w:t>
      </w:r>
    </w:p>
    <w:p w14:paraId="0B20782A">
      <w:pPr>
        <w:spacing w:after="0" w:line="360" w:lineRule="auto"/>
        <w:ind w:firstLine="480" w:firstLineChars="200"/>
        <w:rPr>
          <w:rFonts w:hint="default" w:ascii="Times New Roman" w:hAnsi="Times New Roman" w:cs="Times New Roman"/>
          <w:color w:val="auto"/>
          <w:sz w:val="24"/>
          <w:szCs w:val="24"/>
          <w:highlight w:val="none"/>
          <w:lang w:val="en-US" w:eastAsia="zh-CN"/>
        </w:rPr>
      </w:pPr>
    </w:p>
    <w:p w14:paraId="271DC66B">
      <w:pPr>
        <w:pStyle w:val="4"/>
        <w:bidi w:val="0"/>
      </w:pPr>
      <w:r>
        <w:rPr>
          <w:rFonts w:hint="eastAsia"/>
          <w:lang w:val="en-US" w:eastAsia="zh-CN"/>
        </w:rPr>
        <w:t>3.1.1 田块整治工程</w:t>
      </w:r>
      <w:r>
        <w:t>规划</w:t>
      </w:r>
    </w:p>
    <w:p w14:paraId="5A5ADA02">
      <w:pPr>
        <w:rPr>
          <w:rFonts w:hint="default"/>
          <w:lang w:val="en-US"/>
        </w:rPr>
      </w:pPr>
      <w:r>
        <w:rPr>
          <w:rFonts w:hint="eastAsia" w:cs="Times New Roman"/>
          <w:color w:val="auto"/>
          <w:sz w:val="24"/>
          <w:szCs w:val="24"/>
          <w:highlight w:val="none"/>
          <w:lang w:val="en-US" w:eastAsia="zh-CN"/>
        </w:rPr>
        <w:t>本次</w:t>
      </w:r>
      <w:r>
        <w:rPr>
          <w:rFonts w:hint="eastAsia" w:ascii="Times New Roman" w:hAnsi="Times New Roman" w:cs="Times New Roman"/>
          <w:color w:val="auto"/>
          <w:sz w:val="24"/>
          <w:szCs w:val="24"/>
          <w:highlight w:val="none"/>
          <w:lang w:eastAsia="zh-CN"/>
        </w:rPr>
        <w:t>项目区</w:t>
      </w:r>
      <w:r>
        <w:rPr>
          <w:rFonts w:hint="eastAsia" w:cs="Times New Roman"/>
          <w:color w:val="auto"/>
          <w:sz w:val="24"/>
          <w:szCs w:val="24"/>
          <w:highlight w:val="none"/>
          <w:lang w:val="en-US" w:eastAsia="zh-CN"/>
        </w:rPr>
        <w:t>只涉及修复田埂119m，不涉及区域平整。</w:t>
      </w:r>
    </w:p>
    <w:p w14:paraId="574C1621">
      <w:pPr>
        <w:pStyle w:val="4"/>
        <w:bidi w:val="0"/>
      </w:pPr>
      <w:r>
        <w:rPr>
          <w:rFonts w:hint="eastAsia"/>
          <w:lang w:val="en-US" w:eastAsia="zh-CN"/>
        </w:rPr>
        <w:t xml:space="preserve">3.1.2 </w:t>
      </w:r>
      <w:r>
        <w:t>灌溉与排水工程规划</w:t>
      </w:r>
    </w:p>
    <w:p w14:paraId="33DCAE84">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遵循水土资源合理利用原则，根据旱、涝、渍综合治理要求，结合田、路、林、电进行统一规划和综合布置。</w:t>
      </w:r>
    </w:p>
    <w:p w14:paraId="211190FF">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灌溉水源以地表水为主，地下水为辅，严格控制开采深层地下水，水质应符合《农田灌溉水质标准》（GB5084-2021），水源工程质量保证年限不少于30年。</w:t>
      </w:r>
    </w:p>
    <w:p w14:paraId="4337DA30">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渠道输配水的斗渠、农渠宜用砖、混凝土衬砌，输配水管道宜采用PE管等耐用轻型环保材料。渠道输配水灌溉水田灌溉设计</w:t>
      </w:r>
      <w:r>
        <w:rPr>
          <w:rFonts w:hint="eastAsia" w:ascii="Times New Roman" w:hAnsi="Times New Roman"/>
          <w:color w:val="auto"/>
          <w:sz w:val="24"/>
          <w:szCs w:val="24"/>
          <w:highlight w:val="none"/>
          <w:lang w:eastAsia="zh-CN"/>
        </w:rPr>
        <w:t>保</w:t>
      </w:r>
      <w:r>
        <w:rPr>
          <w:rFonts w:hint="eastAsia" w:ascii="Times New Roman" w:hAnsi="Times New Roman"/>
          <w:color w:val="auto"/>
          <w:sz w:val="24"/>
          <w:szCs w:val="24"/>
          <w:highlight w:val="none"/>
          <w:lang w:val="en-US" w:eastAsia="zh-CN"/>
        </w:rPr>
        <w:t>证</w:t>
      </w:r>
      <w:r>
        <w:rPr>
          <w:rFonts w:ascii="Times New Roman" w:hAnsi="Times New Roman"/>
          <w:color w:val="auto"/>
          <w:sz w:val="24"/>
          <w:szCs w:val="24"/>
          <w:highlight w:val="none"/>
          <w:lang w:eastAsia="zh-CN"/>
        </w:rPr>
        <w:t>率不低于90%，旱地不低于75%；管道输配水灌溉保证率不低于95%，满足灌溉设计保证率的农田面积不低于90%。大型灌区灌溉水利用系数不低于0.5、中型灌区不低于0.6、小型灌区不低于0.7。</w:t>
      </w:r>
    </w:p>
    <w:p w14:paraId="7D3F4B19">
      <w:pPr>
        <w:spacing w:after="0" w:line="360" w:lineRule="auto"/>
        <w:ind w:firstLine="480" w:firstLineChars="200"/>
        <w:rPr>
          <w:rFonts w:ascii="Times New Roman" w:hAnsi="Times New Roman"/>
          <w:color w:val="auto"/>
          <w:sz w:val="24"/>
          <w:szCs w:val="24"/>
          <w:highlight w:val="none"/>
          <w:lang w:eastAsia="zh-CN"/>
        </w:rPr>
      </w:pPr>
      <w:r>
        <w:rPr>
          <w:rFonts w:ascii="Times New Roman" w:hAnsi="Times New Roman"/>
          <w:color w:val="auto"/>
          <w:sz w:val="24"/>
          <w:szCs w:val="24"/>
          <w:highlight w:val="none"/>
          <w:lang w:eastAsia="zh-CN"/>
        </w:rPr>
        <w:t>排水农沟宜与灌溉农渠分离，一般不硬化，但可采用新材料、新技术进行护坡。地下水位高、粘质土壤田块农沟深度应达60cm以上。排涝标准稻作区10年一遇</w:t>
      </w:r>
      <w:r>
        <w:rPr>
          <w:rFonts w:hint="eastAsia" w:ascii="Times New Roman" w:hAnsi="Times New Roman"/>
          <w:color w:val="auto"/>
          <w:sz w:val="24"/>
          <w:szCs w:val="24"/>
          <w:highlight w:val="none"/>
          <w:lang w:val="en-US" w:eastAsia="zh-CN"/>
        </w:rPr>
        <w:t>3</w:t>
      </w:r>
      <w:r>
        <w:rPr>
          <w:rFonts w:ascii="Times New Roman" w:hAnsi="Times New Roman"/>
          <w:color w:val="auto"/>
          <w:sz w:val="24"/>
          <w:szCs w:val="24"/>
          <w:highlight w:val="none"/>
          <w:lang w:eastAsia="zh-CN"/>
        </w:rPr>
        <w:t>日暴雨量，3日排至农作物耐淹深度，旱作区10年一遇</w:t>
      </w:r>
      <w:r>
        <w:rPr>
          <w:rFonts w:hint="eastAsia" w:ascii="Times New Roman" w:hAnsi="Times New Roman"/>
          <w:color w:val="auto"/>
          <w:sz w:val="24"/>
          <w:szCs w:val="24"/>
          <w:highlight w:val="none"/>
          <w:lang w:val="en-US" w:eastAsia="zh-CN"/>
        </w:rPr>
        <w:t>1日</w:t>
      </w:r>
      <w:r>
        <w:rPr>
          <w:rFonts w:ascii="Times New Roman" w:hAnsi="Times New Roman"/>
          <w:color w:val="auto"/>
          <w:sz w:val="24"/>
          <w:szCs w:val="24"/>
          <w:highlight w:val="none"/>
          <w:lang w:eastAsia="zh-CN"/>
        </w:rPr>
        <w:t>暴雨量，</w:t>
      </w:r>
      <w:r>
        <w:rPr>
          <w:rFonts w:hint="eastAsia" w:ascii="Times New Roman" w:hAnsi="Times New Roman"/>
          <w:color w:val="auto"/>
          <w:sz w:val="24"/>
          <w:szCs w:val="24"/>
          <w:highlight w:val="none"/>
          <w:lang w:val="en-US" w:eastAsia="zh-CN"/>
        </w:rPr>
        <w:t>1</w:t>
      </w:r>
      <w:r>
        <w:rPr>
          <w:rFonts w:ascii="Times New Roman" w:hAnsi="Times New Roman"/>
          <w:color w:val="auto"/>
          <w:sz w:val="24"/>
          <w:szCs w:val="24"/>
          <w:highlight w:val="none"/>
          <w:lang w:eastAsia="zh-CN"/>
        </w:rPr>
        <w:t>日排至田面无积水。</w:t>
      </w:r>
    </w:p>
    <w:p w14:paraId="1240D875">
      <w:pPr>
        <w:spacing w:after="0" w:line="360" w:lineRule="auto"/>
        <w:ind w:firstLine="480" w:firstLineChars="200"/>
        <w:rPr>
          <w:rFonts w:hint="eastAsia"/>
        </w:rPr>
      </w:pPr>
      <w:r>
        <w:rPr>
          <w:rFonts w:ascii="Times New Roman" w:hAnsi="Times New Roman"/>
          <w:color w:val="auto"/>
          <w:sz w:val="24"/>
          <w:szCs w:val="24"/>
          <w:highlight w:val="none"/>
          <w:lang w:eastAsia="zh-CN"/>
        </w:rPr>
        <w:t>输水渠道上的分水、控水、量水、衔接和交叉等建筑物应配套齐全</w:t>
      </w:r>
      <w:r>
        <w:rPr>
          <w:rFonts w:hint="eastAsia"/>
        </w:rPr>
        <w:t>。</w:t>
      </w:r>
    </w:p>
    <w:p w14:paraId="5DF3F583">
      <w:pPr>
        <w:spacing w:after="0" w:line="360" w:lineRule="auto"/>
        <w:ind w:firstLine="480" w:firstLineChars="200"/>
        <w:rPr>
          <w:rFonts w:hint="default"/>
          <w:highlight w:val="none"/>
          <w:lang w:val="en-US"/>
        </w:rPr>
      </w:pPr>
      <w:r>
        <w:rPr>
          <w:rFonts w:hint="eastAsia" w:ascii="Times New Roman" w:hAnsi="Times New Roman" w:cs="Times New Roman"/>
          <w:color w:val="auto"/>
          <w:sz w:val="24"/>
          <w:szCs w:val="24"/>
          <w:highlight w:val="none"/>
          <w:lang w:val="en-US" w:eastAsia="zh-CN"/>
        </w:rPr>
        <w:t>项目</w:t>
      </w:r>
      <w:r>
        <w:rPr>
          <w:rFonts w:hint="eastAsia" w:cs="Times New Roman"/>
          <w:color w:val="auto"/>
          <w:sz w:val="24"/>
          <w:szCs w:val="24"/>
          <w:highlight w:val="none"/>
          <w:lang w:val="en-US" w:eastAsia="zh-CN"/>
        </w:rPr>
        <w:t>改建</w:t>
      </w:r>
      <w:r>
        <w:rPr>
          <w:rFonts w:hint="eastAsia" w:ascii="Times New Roman" w:hAnsi="Times New Roman" w:cs="Times New Roman"/>
          <w:color w:val="auto"/>
          <w:sz w:val="24"/>
          <w:szCs w:val="24"/>
          <w:highlight w:val="none"/>
          <w:lang w:eastAsia="zh-CN"/>
        </w:rPr>
        <w:t>斗渠</w:t>
      </w:r>
      <w:r>
        <w:rPr>
          <w:rFonts w:hint="eastAsia" w:cs="Times New Roman"/>
          <w:color w:val="auto"/>
          <w:sz w:val="24"/>
          <w:szCs w:val="24"/>
          <w:highlight w:val="none"/>
          <w:lang w:val="en-US" w:eastAsia="zh-CN"/>
        </w:rPr>
        <w:t>460</w:t>
      </w:r>
      <w:r>
        <w:rPr>
          <w:rFonts w:hint="eastAsia" w:ascii="Times New Roman" w:hAnsi="Times New Roman" w:cs="Times New Roman"/>
          <w:color w:val="auto"/>
          <w:sz w:val="24"/>
          <w:szCs w:val="24"/>
          <w:highlight w:val="none"/>
          <w:lang w:eastAsia="zh-CN"/>
        </w:rPr>
        <w:t>m、</w:t>
      </w:r>
      <w:r>
        <w:rPr>
          <w:rFonts w:hint="eastAsia" w:cs="Times New Roman"/>
          <w:color w:val="auto"/>
          <w:sz w:val="24"/>
          <w:szCs w:val="24"/>
          <w:highlight w:val="none"/>
          <w:lang w:val="en-US" w:eastAsia="zh-CN"/>
        </w:rPr>
        <w:t>改建</w:t>
      </w:r>
      <w:r>
        <w:rPr>
          <w:rFonts w:hint="eastAsia" w:ascii="Times New Roman" w:hAnsi="Times New Roman" w:cs="Times New Roman"/>
          <w:color w:val="auto"/>
          <w:sz w:val="24"/>
          <w:szCs w:val="24"/>
          <w:highlight w:val="none"/>
          <w:lang w:eastAsia="zh-CN"/>
        </w:rPr>
        <w:t>农渠</w:t>
      </w:r>
      <w:r>
        <w:rPr>
          <w:rFonts w:hint="eastAsia" w:cs="Times New Roman"/>
          <w:color w:val="auto"/>
          <w:sz w:val="24"/>
          <w:szCs w:val="24"/>
          <w:highlight w:val="none"/>
          <w:lang w:val="en-US" w:eastAsia="zh-CN"/>
        </w:rPr>
        <w:t>257</w:t>
      </w:r>
      <w:r>
        <w:rPr>
          <w:rFonts w:hint="eastAsia" w:ascii="Times New Roman" w:hAnsi="Times New Roman" w:cs="Times New Roman"/>
          <w:color w:val="auto"/>
          <w:sz w:val="24"/>
          <w:szCs w:val="24"/>
          <w:highlight w:val="none"/>
          <w:lang w:eastAsia="zh-CN"/>
        </w:rPr>
        <w:t>m、</w:t>
      </w:r>
      <w:r>
        <w:rPr>
          <w:rFonts w:hint="eastAsia" w:cs="Times New Roman"/>
          <w:color w:val="auto"/>
          <w:sz w:val="24"/>
          <w:szCs w:val="24"/>
          <w:highlight w:val="none"/>
          <w:lang w:val="en-US" w:eastAsia="zh-CN"/>
        </w:rPr>
        <w:t>沟渠维修521m，拆建农渠432m，盖板涵1座</w:t>
      </w:r>
      <w:r>
        <w:rPr>
          <w:rFonts w:hint="eastAsia" w:ascii="Times New Roman" w:hAnsi="Times New Roman" w:cs="Times New Roman"/>
          <w:color w:val="auto"/>
          <w:sz w:val="24"/>
          <w:szCs w:val="24"/>
          <w:highlight w:val="none"/>
          <w:lang w:eastAsia="zh-CN"/>
        </w:rPr>
        <w:t>。</w:t>
      </w:r>
    </w:p>
    <w:p w14:paraId="57C603BD">
      <w:pPr>
        <w:pStyle w:val="4"/>
        <w:bidi w:val="0"/>
      </w:pPr>
      <w:r>
        <w:rPr>
          <w:rFonts w:hint="eastAsia"/>
          <w:lang w:val="en-US" w:eastAsia="zh-CN"/>
        </w:rPr>
        <w:t xml:space="preserve">3.1.3 </w:t>
      </w:r>
      <w:r>
        <w:t>田间道路工程规划</w:t>
      </w:r>
    </w:p>
    <w:p w14:paraId="505AC24F">
      <w:pPr>
        <w:bidi w:val="0"/>
        <w:rPr>
          <w:rFonts w:hint="eastAsia"/>
          <w:lang w:val="en-US" w:eastAsia="zh-CN"/>
        </w:rPr>
      </w:pPr>
      <w:r>
        <w:rPr>
          <w:rFonts w:hint="eastAsia"/>
          <w:lang w:val="en-US" w:eastAsia="zh-CN"/>
        </w:rPr>
        <w:t>项目区道路系统主要为农业生产服务，在设计时考虑了项目区周边的环境和原有的道路系统，在充分利用现有道路加以修复的基础上，在项目区内新建和改建了部分机耕道。</w:t>
      </w:r>
      <w:r>
        <w:rPr>
          <w:rFonts w:ascii="Times New Roman" w:hAnsi="Times New Roman"/>
          <w:color w:val="auto"/>
          <w:sz w:val="24"/>
          <w:szCs w:val="24"/>
          <w:highlight w:val="none"/>
          <w:lang w:eastAsia="zh-CN"/>
        </w:rPr>
        <w:t>田间道路通达度河谷平原区应达100%，丘陵岗地区应不低于90%</w:t>
      </w:r>
      <w:r>
        <w:rPr>
          <w:rFonts w:hint="eastAsia" w:ascii="Times New Roman" w:hAnsi="Times New Roman"/>
          <w:color w:val="auto"/>
          <w:sz w:val="24"/>
          <w:szCs w:val="24"/>
          <w:highlight w:val="none"/>
          <w:lang w:eastAsia="zh-CN"/>
        </w:rPr>
        <w:t>。</w:t>
      </w:r>
    </w:p>
    <w:p w14:paraId="48409A17">
      <w:pPr>
        <w:bidi w:val="0"/>
        <w:rPr>
          <w:rFonts w:hint="eastAsia"/>
          <w:lang w:val="en-US" w:eastAsia="zh-CN"/>
        </w:rPr>
      </w:pPr>
      <w:r>
        <w:rPr>
          <w:rFonts w:hint="eastAsia"/>
          <w:lang w:val="en-US" w:eastAsia="zh-CN"/>
        </w:rPr>
        <w:t>本规划田间道路路线设计以下为原则：</w:t>
      </w:r>
    </w:p>
    <w:p w14:paraId="0E67D161">
      <w:pPr>
        <w:bidi w:val="0"/>
        <w:rPr>
          <w:rFonts w:hint="eastAsia"/>
          <w:lang w:val="en-US" w:eastAsia="zh-CN"/>
        </w:rPr>
      </w:pPr>
      <w:r>
        <w:rPr>
          <w:rFonts w:hint="eastAsia"/>
          <w:lang w:val="en-US" w:eastAsia="zh-CN"/>
        </w:rPr>
        <w:t>（1）尽量少占农田，不宜破坏已有的各项建设工程；</w:t>
      </w:r>
    </w:p>
    <w:p w14:paraId="1EAE61C2">
      <w:pPr>
        <w:bidi w:val="0"/>
        <w:rPr>
          <w:rFonts w:hint="eastAsia"/>
          <w:lang w:val="en-US" w:eastAsia="zh-CN"/>
        </w:rPr>
      </w:pPr>
      <w:r>
        <w:rPr>
          <w:rFonts w:hint="eastAsia"/>
          <w:lang w:val="en-US" w:eastAsia="zh-CN"/>
        </w:rPr>
        <w:t>（2）道路尽量短顺平直，在易受浸没的地段，尽量把路线置于高处，对常年积水洼地，绕行或抬高路基；</w:t>
      </w:r>
    </w:p>
    <w:p w14:paraId="33A25529">
      <w:pPr>
        <w:bidi w:val="0"/>
        <w:rPr>
          <w:rFonts w:hint="eastAsia"/>
          <w:lang w:val="en-US" w:eastAsia="zh-CN"/>
        </w:rPr>
      </w:pPr>
      <w:r>
        <w:rPr>
          <w:rFonts w:hint="eastAsia"/>
          <w:lang w:val="en-US" w:eastAsia="zh-CN"/>
        </w:rPr>
        <w:t>（3）道路布局与田、林、村、渠、沟等布局相协调，有利于田间生产管理；</w:t>
      </w:r>
    </w:p>
    <w:p w14:paraId="363ED9D5">
      <w:pPr>
        <w:bidi w:val="0"/>
        <w:rPr>
          <w:rFonts w:hint="eastAsia"/>
          <w:lang w:val="en-US" w:eastAsia="zh-CN"/>
        </w:rPr>
      </w:pPr>
      <w:r>
        <w:rPr>
          <w:rFonts w:hint="eastAsia"/>
          <w:lang w:val="en-US" w:eastAsia="zh-CN"/>
        </w:rPr>
        <w:t>（4）尽量维修利用原有道路，且维修后的道路达到相应的设计标准；</w:t>
      </w:r>
    </w:p>
    <w:p w14:paraId="783F90EB">
      <w:pPr>
        <w:bidi w:val="0"/>
        <w:rPr>
          <w:rFonts w:hint="eastAsia"/>
          <w:lang w:val="en-US" w:eastAsia="zh-CN"/>
        </w:rPr>
      </w:pPr>
      <w:r>
        <w:rPr>
          <w:rFonts w:hint="eastAsia"/>
          <w:lang w:val="en-US" w:eastAsia="zh-CN"/>
        </w:rPr>
        <w:t>（5）尽量使水泥路和田间道布局形成网状，使道路网具有完善的通达度，尽量避免断头路；</w:t>
      </w:r>
    </w:p>
    <w:p w14:paraId="0F93D79D">
      <w:pPr>
        <w:bidi w:val="0"/>
        <w:rPr>
          <w:rFonts w:hint="eastAsia"/>
          <w:lang w:val="en-US" w:eastAsia="zh-CN"/>
        </w:rPr>
      </w:pPr>
      <w:r>
        <w:rPr>
          <w:rFonts w:hint="eastAsia"/>
          <w:lang w:val="en-US" w:eastAsia="zh-CN"/>
        </w:rPr>
        <w:t>（6）项目区内外的主要道路应贯通，且与村庄干道相连；</w:t>
      </w:r>
    </w:p>
    <w:p w14:paraId="5867910B">
      <w:pPr>
        <w:bidi w:val="0"/>
        <w:rPr>
          <w:rFonts w:hint="eastAsia"/>
          <w:lang w:val="en-US" w:eastAsia="zh-CN"/>
        </w:rPr>
      </w:pPr>
      <w:r>
        <w:rPr>
          <w:rFonts w:hint="eastAsia"/>
          <w:lang w:val="en-US" w:eastAsia="zh-CN"/>
        </w:rPr>
        <w:t>（7）保护和改善生态环境，防止水土流失。</w:t>
      </w:r>
    </w:p>
    <w:p w14:paraId="74AE46F5">
      <w:pPr>
        <w:bidi w:val="0"/>
        <w:rPr>
          <w:rFonts w:hint="eastAsia" w:ascii="Times New Roman" w:hAnsi="Times New Roman" w:cs="Times New Roman"/>
          <w:color w:val="auto"/>
          <w:sz w:val="24"/>
          <w:szCs w:val="24"/>
          <w:highlight w:val="none"/>
          <w:lang w:eastAsia="zh-CN"/>
        </w:rPr>
      </w:pPr>
      <w:r>
        <w:rPr>
          <w:rFonts w:hint="eastAsia" w:ascii="Times New Roman" w:hAnsi="Times New Roman" w:cs="Times New Roman"/>
          <w:color w:val="auto"/>
          <w:sz w:val="24"/>
          <w:szCs w:val="24"/>
          <w:highlight w:val="none"/>
          <w:lang w:eastAsia="zh-CN"/>
        </w:rPr>
        <w:t>项目区</w:t>
      </w:r>
      <w:r>
        <w:rPr>
          <w:rFonts w:hint="eastAsia" w:cs="Times New Roman"/>
          <w:color w:val="auto"/>
          <w:sz w:val="24"/>
          <w:szCs w:val="24"/>
          <w:highlight w:val="none"/>
          <w:lang w:val="en-US" w:eastAsia="zh-CN"/>
        </w:rPr>
        <w:t>修复3m机耕道391m，改建3.5m机耕道769m</w:t>
      </w:r>
      <w:r>
        <w:rPr>
          <w:rFonts w:hint="eastAsia" w:ascii="Times New Roman" w:hAnsi="Times New Roman" w:cs="Times New Roman"/>
          <w:color w:val="auto"/>
          <w:sz w:val="24"/>
          <w:szCs w:val="24"/>
          <w:highlight w:val="none"/>
          <w:lang w:eastAsia="zh-CN"/>
        </w:rPr>
        <w:t>。</w:t>
      </w:r>
    </w:p>
    <w:p w14:paraId="2D87B2FC">
      <w:pPr>
        <w:bidi w:val="0"/>
        <w:rPr>
          <w:rFonts w:hint="eastAsia" w:ascii="Times New Roman" w:hAnsi="Times New Roman" w:cs="Times New Roman"/>
          <w:color w:val="auto"/>
          <w:sz w:val="24"/>
          <w:szCs w:val="24"/>
          <w:highlight w:val="none"/>
          <w:lang w:val="en-US" w:eastAsia="zh-CN"/>
        </w:rPr>
      </w:pPr>
    </w:p>
    <w:p w14:paraId="0F7C931D">
      <w:pPr>
        <w:rPr>
          <w:rFonts w:hint="eastAsia"/>
          <w:lang w:val="en-US" w:eastAsia="zh-CN"/>
        </w:rPr>
      </w:pPr>
      <w:r>
        <w:rPr>
          <w:rFonts w:hint="eastAsia"/>
          <w:lang w:val="en-US" w:eastAsia="zh-CN"/>
        </w:rPr>
        <w:br w:type="page"/>
      </w:r>
    </w:p>
    <w:p w14:paraId="5DE6657A">
      <w:pPr>
        <w:pStyle w:val="2"/>
        <w:bidi w:val="0"/>
      </w:pPr>
      <w:bookmarkStart w:id="47" w:name="_Toc31219"/>
      <w:r>
        <w:rPr>
          <w:rFonts w:hint="eastAsia"/>
          <w:lang w:val="en-US" w:eastAsia="zh-CN"/>
        </w:rPr>
        <w:t xml:space="preserve">第四章  </w:t>
      </w:r>
      <w:r>
        <w:t>农田基础设施建设工程设计</w:t>
      </w:r>
      <w:bookmarkEnd w:id="47"/>
    </w:p>
    <w:p w14:paraId="6591EFD1">
      <w:pPr>
        <w:pStyle w:val="3"/>
        <w:bidi w:val="0"/>
      </w:pPr>
      <w:bookmarkStart w:id="48" w:name="_Toc9618"/>
      <w:r>
        <w:rPr>
          <w:rFonts w:hint="eastAsia"/>
          <w:lang w:val="en-US" w:eastAsia="zh-CN"/>
        </w:rPr>
        <w:t>4.1 田块整治工程</w:t>
      </w:r>
      <w:r>
        <w:t>设计</w:t>
      </w:r>
      <w:bookmarkEnd w:id="48"/>
    </w:p>
    <w:p w14:paraId="57392DE5">
      <w:r>
        <w:rPr>
          <w:lang w:val="en-US" w:eastAsia="zh-CN"/>
        </w:rPr>
        <w:t>为规范田块边界、统一田埂标准、提升田间保水防渗能力、适配大中型农机作业，改善田间灌排条件，实现田成方、地平整、埂笔直、水不串，本次对项目区内</w:t>
      </w:r>
      <w:r>
        <w:rPr>
          <w:rFonts w:hint="eastAsia"/>
          <w:lang w:val="en-US" w:eastAsia="zh-CN"/>
        </w:rPr>
        <w:t>损坏</w:t>
      </w:r>
      <w:r>
        <w:rPr>
          <w:lang w:val="en-US" w:eastAsia="zh-CN"/>
        </w:rPr>
        <w:t>田埂进行统一新建、修整、夯实加固，全面提升田块规整度与耕地质量，满足高标准农田建设标准</w:t>
      </w:r>
      <w:r>
        <w:rPr>
          <w:rFonts w:hint="eastAsia"/>
          <w:lang w:val="en-US" w:eastAsia="zh-CN"/>
        </w:rPr>
        <w:t>。</w:t>
      </w:r>
    </w:p>
    <w:p w14:paraId="7290060A">
      <w:pPr>
        <w:bidi w:val="0"/>
        <w:rPr>
          <w:rFonts w:hint="default"/>
          <w:lang w:val="en-US" w:eastAsia="zh-CN"/>
        </w:rPr>
      </w:pPr>
      <w:r>
        <w:rPr>
          <w:rFonts w:hint="eastAsia"/>
          <w:lang w:val="en-US" w:eastAsia="zh-CN"/>
        </w:rPr>
        <w:t>田埂修筑：</w:t>
      </w:r>
      <w:r>
        <w:rPr>
          <w:rFonts w:hint="default"/>
          <w:lang w:val="en-US" w:eastAsia="zh-CN"/>
        </w:rPr>
        <w:t xml:space="preserve"> 田埂、田坎回填土要求密实，压实度0.85；土料不得含腐殖质及其它杂物，不允许出现土坯，填筑时不允许有架空空洞现象，确保不漏水</w:t>
      </w:r>
      <w:r>
        <w:rPr>
          <w:rFonts w:hint="eastAsia"/>
          <w:lang w:val="en-US" w:eastAsia="zh-CN"/>
        </w:rPr>
        <w:t>。田埂上宽0.4m，底宽0.7m，高0.5m。</w:t>
      </w:r>
    </w:p>
    <w:p w14:paraId="268A93D9">
      <w:pPr>
        <w:pStyle w:val="3"/>
        <w:bidi w:val="0"/>
      </w:pPr>
      <w:bookmarkStart w:id="49" w:name="_Toc23181"/>
      <w:r>
        <w:rPr>
          <w:rFonts w:hint="eastAsia"/>
          <w:lang w:val="en-US" w:eastAsia="zh-CN"/>
        </w:rPr>
        <w:t xml:space="preserve">4.2 </w:t>
      </w:r>
      <w:r>
        <w:t>灌溉与排水工程设计</w:t>
      </w:r>
      <w:bookmarkEnd w:id="49"/>
    </w:p>
    <w:p w14:paraId="476DED7F">
      <w:pPr>
        <w:pStyle w:val="4"/>
        <w:bidi w:val="0"/>
      </w:pPr>
      <w:r>
        <w:rPr>
          <w:rFonts w:hint="eastAsia"/>
          <w:lang w:val="en-US" w:eastAsia="zh-CN"/>
        </w:rPr>
        <w:t xml:space="preserve">4.2.1 </w:t>
      </w:r>
      <w:r>
        <w:t>灌溉与排水工程标准</w:t>
      </w:r>
    </w:p>
    <w:p w14:paraId="6BB5FE14">
      <w:pPr>
        <w:bidi w:val="0"/>
        <w:rPr>
          <w:rFonts w:hint="eastAsia"/>
        </w:rPr>
      </w:pPr>
      <w:r>
        <w:rPr>
          <w:rFonts w:hint="eastAsia"/>
        </w:rPr>
        <w:t>灌溉标准：水田灌溉设计保证率取</w:t>
      </w:r>
      <w:r>
        <w:rPr>
          <w:rFonts w:hint="eastAsia"/>
          <w:lang w:val="en-US" w:eastAsia="zh-CN"/>
        </w:rPr>
        <w:t>90</w:t>
      </w:r>
      <w:r>
        <w:rPr>
          <w:rFonts w:hint="eastAsia"/>
        </w:rPr>
        <w:t>%，旱地灌溉设计保证率取75%。</w:t>
      </w:r>
    </w:p>
    <w:p w14:paraId="7EBA8361">
      <w:pPr>
        <w:bidi w:val="0"/>
        <w:rPr>
          <w:rFonts w:hint="eastAsia"/>
        </w:rPr>
      </w:pPr>
      <w:r>
        <w:rPr>
          <w:rFonts w:hint="eastAsia"/>
          <w:lang w:eastAsia="zh-CN"/>
        </w:rPr>
        <w:t>排涝</w:t>
      </w:r>
      <w:r>
        <w:rPr>
          <w:rFonts w:hint="eastAsia"/>
        </w:rPr>
        <w:t>标准：参照《灌溉与排水工程设计规范》（GB50288—2018）中“旱作区一般可采用1</w:t>
      </w:r>
      <w:r>
        <w:rPr>
          <w:rFonts w:hint="eastAsia"/>
          <w:lang w:eastAsia="zh-CN"/>
        </w:rPr>
        <w:t>—</w:t>
      </w:r>
      <w:r>
        <w:rPr>
          <w:rFonts w:hint="eastAsia"/>
        </w:rPr>
        <w:t>3d暴雨从作物受淹起1</w:t>
      </w:r>
      <w:r>
        <w:rPr>
          <w:rFonts w:hint="eastAsia"/>
          <w:lang w:eastAsia="zh-CN"/>
        </w:rPr>
        <w:t>—</w:t>
      </w:r>
      <w:r>
        <w:rPr>
          <w:rFonts w:hint="eastAsia"/>
        </w:rPr>
        <w:t>3d排至田面无积水；水稻区一般可采用1</w:t>
      </w:r>
      <w:r>
        <w:rPr>
          <w:rFonts w:hint="eastAsia"/>
          <w:lang w:eastAsia="zh-CN"/>
        </w:rPr>
        <w:t>—</w:t>
      </w:r>
      <w:r>
        <w:rPr>
          <w:rFonts w:hint="eastAsia"/>
        </w:rPr>
        <w:t>3d暴雨3</w:t>
      </w:r>
      <w:r>
        <w:rPr>
          <w:rFonts w:hint="eastAsia"/>
          <w:lang w:eastAsia="zh-CN"/>
        </w:rPr>
        <w:t>—</w:t>
      </w:r>
      <w:r>
        <w:rPr>
          <w:rFonts w:hint="eastAsia"/>
        </w:rPr>
        <w:t>5d排至耐淹水深”取定</w:t>
      </w:r>
      <w:r>
        <w:rPr>
          <w:rFonts w:hint="eastAsia"/>
          <w:lang w:eastAsia="zh-CN"/>
        </w:rPr>
        <w:t>。本项目</w:t>
      </w:r>
      <w:r>
        <w:rPr>
          <w:rFonts w:hint="eastAsia"/>
        </w:rPr>
        <w:t>稻作区为</w:t>
      </w:r>
      <w:r>
        <w:rPr>
          <w:rFonts w:hint="eastAsia"/>
          <w:lang w:val="en-US" w:eastAsia="zh-CN"/>
        </w:rPr>
        <w:t>10</w:t>
      </w:r>
      <w:r>
        <w:rPr>
          <w:rFonts w:hint="eastAsia"/>
        </w:rPr>
        <w:t>年一遇3日暴雨量，</w:t>
      </w:r>
      <w:r>
        <w:rPr>
          <w:rFonts w:hint="eastAsia"/>
          <w:lang w:val="en-US" w:eastAsia="zh-CN"/>
        </w:rPr>
        <w:t>3</w:t>
      </w:r>
      <w:r>
        <w:rPr>
          <w:rFonts w:hint="eastAsia"/>
        </w:rPr>
        <w:t>日排至农作物耐淹深度；旱作区为</w:t>
      </w:r>
      <w:r>
        <w:rPr>
          <w:rFonts w:hint="eastAsia"/>
          <w:lang w:val="en-US" w:eastAsia="zh-CN"/>
        </w:rPr>
        <w:t>10</w:t>
      </w:r>
      <w:r>
        <w:rPr>
          <w:rFonts w:hint="eastAsia"/>
        </w:rPr>
        <w:t>年一遇</w:t>
      </w:r>
      <w:r>
        <w:rPr>
          <w:rFonts w:hint="eastAsia"/>
          <w:lang w:val="en-US" w:eastAsia="zh-CN"/>
        </w:rPr>
        <w:t>1</w:t>
      </w:r>
      <w:r>
        <w:rPr>
          <w:rFonts w:hint="eastAsia"/>
        </w:rPr>
        <w:t>日暴雨量，</w:t>
      </w:r>
      <w:r>
        <w:rPr>
          <w:rFonts w:hint="eastAsia"/>
          <w:lang w:val="en-US" w:eastAsia="zh-CN"/>
        </w:rPr>
        <w:t>1</w:t>
      </w:r>
      <w:r>
        <w:rPr>
          <w:rFonts w:hint="eastAsia"/>
        </w:rPr>
        <w:t>日排至田面无积水。</w:t>
      </w:r>
    </w:p>
    <w:p w14:paraId="346FCAB0">
      <w:pPr>
        <w:bidi w:val="0"/>
        <w:rPr>
          <w:rFonts w:hint="eastAsia"/>
        </w:rPr>
      </w:pPr>
      <w:r>
        <w:rPr>
          <w:rFonts w:hint="eastAsia"/>
        </w:rPr>
        <w:t>建（构）筑物防洪标准：灌排沟渠及渠系建筑物采用</w:t>
      </w:r>
      <w:r>
        <w:rPr>
          <w:rFonts w:hint="eastAsia"/>
          <w:lang w:val="en-US" w:eastAsia="zh-CN"/>
        </w:rPr>
        <w:t>10</w:t>
      </w:r>
      <w:r>
        <w:rPr>
          <w:rFonts w:hint="eastAsia"/>
        </w:rPr>
        <w:t>年一遇洪水设计。</w:t>
      </w:r>
    </w:p>
    <w:p w14:paraId="5DB416F6">
      <w:pPr>
        <w:bidi w:val="0"/>
        <w:rPr>
          <w:rFonts w:hint="eastAsia"/>
        </w:rPr>
      </w:pPr>
      <w:r>
        <w:rPr>
          <w:rFonts w:hint="eastAsia"/>
        </w:rPr>
        <w:t>建（构）筑物工程标准：根据《水利水电工程等级划分及洪水标准》（SL252-2017）、《灌溉与排水工程设计规范》（GB50288—2018）规定，本项目为V等工程，主要建筑物级别为5级。</w:t>
      </w:r>
    </w:p>
    <w:p w14:paraId="1EE76669">
      <w:pPr>
        <w:pStyle w:val="4"/>
        <w:bidi w:val="0"/>
      </w:pPr>
      <w:r>
        <w:rPr>
          <w:rFonts w:hint="eastAsia"/>
          <w:lang w:val="en-US" w:eastAsia="zh-CN"/>
        </w:rPr>
        <w:t xml:space="preserve">4.2.2 </w:t>
      </w:r>
      <w:r>
        <w:t>渠道工程设计</w:t>
      </w:r>
    </w:p>
    <w:p w14:paraId="2DF1EBE1">
      <w:pPr>
        <w:bidi w:val="0"/>
        <w:rPr>
          <w:rFonts w:hint="eastAsia"/>
        </w:rPr>
      </w:pPr>
      <w:r>
        <w:rPr>
          <w:rFonts w:hint="eastAsia"/>
        </w:rPr>
        <w:t>本次设计斗、农渠一般保持原渠线不变，个别地段因地质、地形原因和本次设计田块布置需要的，进行</w:t>
      </w:r>
      <w:r>
        <w:rPr>
          <w:rFonts w:hint="eastAsia"/>
          <w:lang w:val="en-US" w:eastAsia="zh-CN"/>
        </w:rPr>
        <w:t>新增及改线</w:t>
      </w:r>
      <w:r>
        <w:rPr>
          <w:rFonts w:hint="eastAsia"/>
        </w:rPr>
        <w:t>。灌溉渠道根据实际情况，采用</w:t>
      </w:r>
      <w:r>
        <w:rPr>
          <w:rFonts w:hint="eastAsia"/>
          <w:lang w:val="en-US" w:eastAsia="zh-CN"/>
        </w:rPr>
        <w:t>砖砌</w:t>
      </w:r>
      <w:r>
        <w:rPr>
          <w:rFonts w:hint="eastAsia"/>
        </w:rPr>
        <w:t>渠道或土渠。根据灌溉面积所需的设计流量对渠道断面进行复核，基本可满足要求。</w:t>
      </w:r>
    </w:p>
    <w:p w14:paraId="7765E190">
      <w:pPr>
        <w:bidi w:val="0"/>
        <w:rPr>
          <w:rFonts w:hint="eastAsia"/>
        </w:rPr>
      </w:pPr>
      <w:r>
        <w:rPr>
          <w:rFonts w:hint="eastAsia"/>
        </w:rPr>
        <w:t>渠道断面有矩形、梯形等多种断面形式，结合当地现有的灌溉设施使用状况，综合考虑项目区农户和当地农业农村部门的意见，本项目渠道主要采用</w:t>
      </w:r>
      <w:r>
        <w:rPr>
          <w:rFonts w:hint="eastAsia"/>
          <w:lang w:val="en-US" w:eastAsia="zh-CN"/>
        </w:rPr>
        <w:t>砖砌</w:t>
      </w:r>
      <w:r>
        <w:rPr>
          <w:rFonts w:hint="eastAsia"/>
        </w:rPr>
        <w:t>渠道，渠道断面选取矩形断面。</w:t>
      </w:r>
    </w:p>
    <w:p w14:paraId="6E491169">
      <w:pPr>
        <w:bidi w:val="0"/>
        <w:rPr>
          <w:rFonts w:hint="default" w:ascii="Times New Roman" w:hAnsi="Times New Roman" w:eastAsia="仿宋_GB2312" w:cs="Times New Roman"/>
          <w:color w:val="auto"/>
          <w:szCs w:val="28"/>
          <w:highlight w:val="none"/>
        </w:rPr>
      </w:pPr>
      <w:r>
        <w:rPr>
          <w:rFonts w:hint="eastAsia"/>
        </w:rPr>
        <w:t>本项目设计依据为《灌溉与排水工程设计标准》（GB50288-2018）、《农田排水工程技术规范》（SL4-2013），本次设计的渠道工程等级为Ⅴ级</w:t>
      </w:r>
      <w:r>
        <w:rPr>
          <w:rFonts w:hint="default"/>
        </w:rPr>
        <w:t>。</w:t>
      </w:r>
    </w:p>
    <w:p w14:paraId="0E617B53">
      <w:pPr>
        <w:pStyle w:val="5"/>
        <w:bidi w:val="0"/>
        <w:rPr>
          <w:rFonts w:hint="default"/>
        </w:rPr>
      </w:pPr>
      <w:bookmarkStart w:id="50" w:name="_Toc6617"/>
      <w:r>
        <w:rPr>
          <w:rFonts w:hint="eastAsia"/>
          <w:lang w:val="en-US" w:eastAsia="zh-CN"/>
        </w:rPr>
        <w:t xml:space="preserve">4.2.2.1 </w:t>
      </w:r>
      <w:r>
        <w:rPr>
          <w:rFonts w:hint="default"/>
        </w:rPr>
        <w:t>设计灌水率的计算</w:t>
      </w:r>
      <w:bookmarkEnd w:id="50"/>
    </w:p>
    <w:p w14:paraId="056C0239">
      <w:pPr>
        <w:bidi w:val="0"/>
        <w:rPr>
          <w:rFonts w:hint="default"/>
        </w:rPr>
      </w:pPr>
      <w:r>
        <w:rPr>
          <w:rFonts w:hint="default"/>
        </w:rPr>
        <w:t>根据《灌溉与排水工程技术标准》（GB50288—2018）计算：</w:t>
      </w:r>
    </w:p>
    <w:p w14:paraId="6211D794">
      <w:pPr>
        <w:bidi w:val="0"/>
        <w:rPr>
          <w:rFonts w:hint="default"/>
        </w:rPr>
      </w:pPr>
      <w:r>
        <w:rPr>
          <w:rFonts w:hint="default"/>
        </w:rPr>
        <w:t>由《江西省农业用水定额》查得，</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default"/>
        </w:rPr>
        <w:t>属于赣</w:t>
      </w:r>
      <w:r>
        <w:rPr>
          <w:rFonts w:hint="eastAsia"/>
          <w:lang w:val="en-US" w:eastAsia="zh-CN"/>
        </w:rPr>
        <w:t>东北</w:t>
      </w:r>
      <w:r>
        <w:rPr>
          <w:rFonts w:hint="default"/>
        </w:rPr>
        <w:t>区，水田灌溉保证率90%下，早稻泡</w:t>
      </w:r>
      <w:r>
        <w:rPr>
          <w:rFonts w:hint="default"/>
          <w:color w:val="auto"/>
        </w:rPr>
        <w:t>田期灌溉用水定额为5</w:t>
      </w:r>
      <w:r>
        <w:rPr>
          <w:rFonts w:hint="eastAsia"/>
          <w:color w:val="auto"/>
          <w:lang w:val="en-US" w:eastAsia="zh-CN"/>
        </w:rPr>
        <w:t>8</w:t>
      </w:r>
      <w:r>
        <w:rPr>
          <w:rFonts w:hint="default"/>
          <w:color w:val="auto"/>
        </w:rPr>
        <w:t>m³/亩。</w:t>
      </w:r>
    </w:p>
    <w:p w14:paraId="6F2F8D31">
      <w:pPr>
        <w:bidi w:val="0"/>
        <w:rPr>
          <w:rFonts w:hint="default"/>
        </w:rPr>
      </w:pPr>
      <w:r>
        <w:rPr>
          <w:rFonts w:hint="default"/>
        </w:rPr>
        <w:t>根据设计灌溉制度，项目区作物设计灌水率由下式计算：</w:t>
      </w:r>
    </w:p>
    <w:p w14:paraId="567C9CB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eastAsia"/>
          <w:i/>
          <w:iCs/>
          <w:lang w:val="en-US" w:eastAsia="zh-CN"/>
        </w:rPr>
        <w:t>q</w:t>
      </w:r>
      <w:r>
        <w:rPr>
          <w:rFonts w:hint="default"/>
        </w:rPr>
        <w:t>=</w:t>
      </w:r>
      <w:r>
        <w:rPr>
          <w:rFonts w:hint="default"/>
          <w:i/>
          <w:iCs/>
        </w:rPr>
        <w:t>m</w:t>
      </w:r>
      <w:r>
        <w:rPr>
          <w:rFonts w:hint="default"/>
        </w:rPr>
        <w:t>/（0.36</w:t>
      </w:r>
      <w:r>
        <w:rPr>
          <w:rFonts w:hint="default"/>
          <w:i/>
          <w:iCs/>
        </w:rPr>
        <w:t>Tt</w:t>
      </w:r>
      <w:r>
        <w:rPr>
          <w:rFonts w:hint="default"/>
        </w:rPr>
        <w:t>）</w:t>
      </w:r>
    </w:p>
    <w:p w14:paraId="0B07BC7A">
      <w:pPr>
        <w:bidi w:val="0"/>
        <w:rPr>
          <w:rFonts w:hint="default"/>
        </w:rPr>
      </w:pPr>
      <w:r>
        <w:rPr>
          <w:rFonts w:hint="default"/>
        </w:rPr>
        <w:t>式中：</w:t>
      </w:r>
      <w:r>
        <w:rPr>
          <w:rFonts w:hint="eastAsia"/>
          <w:lang w:val="en-US" w:eastAsia="zh-CN"/>
        </w:rPr>
        <w:t xml:space="preserve"> </w:t>
      </w:r>
      <w:r>
        <w:rPr>
          <w:rFonts w:hint="eastAsia"/>
          <w:i/>
          <w:iCs/>
          <w:lang w:val="en-US" w:eastAsia="zh-CN"/>
        </w:rPr>
        <w:t>q</w:t>
      </w:r>
      <w:r>
        <w:rPr>
          <w:rFonts w:hint="default"/>
        </w:rPr>
        <w:t>——设计灌水率，m³/（s·万亩）；</w:t>
      </w:r>
    </w:p>
    <w:p w14:paraId="4F1460F4">
      <w:pPr>
        <w:bidi w:val="0"/>
        <w:ind w:firstLine="1315" w:firstLineChars="548"/>
        <w:rPr>
          <w:rFonts w:hint="default"/>
        </w:rPr>
      </w:pPr>
      <w:r>
        <w:rPr>
          <w:rFonts w:hint="default"/>
          <w:i/>
          <w:iCs/>
        </w:rPr>
        <w:t>m</w:t>
      </w:r>
      <w:r>
        <w:rPr>
          <w:rFonts w:hint="default"/>
        </w:rPr>
        <w:t>——作物每次灌水定额，5</w:t>
      </w:r>
      <w:r>
        <w:rPr>
          <w:rFonts w:hint="eastAsia"/>
          <w:lang w:val="en-US" w:eastAsia="zh-CN"/>
        </w:rPr>
        <w:t>8</w:t>
      </w:r>
      <w:r>
        <w:rPr>
          <w:rFonts w:hint="default"/>
        </w:rPr>
        <w:t>m³/亩；</w:t>
      </w:r>
    </w:p>
    <w:p w14:paraId="5E82170B">
      <w:pPr>
        <w:bidi w:val="0"/>
        <w:ind w:firstLine="1315" w:firstLineChars="548"/>
        <w:rPr>
          <w:rFonts w:hint="default"/>
        </w:rPr>
      </w:pPr>
      <w:r>
        <w:rPr>
          <w:rFonts w:hint="default"/>
          <w:i/>
          <w:iCs/>
        </w:rPr>
        <w:t>T</w:t>
      </w:r>
      <w:r>
        <w:rPr>
          <w:rFonts w:hint="default"/>
        </w:rPr>
        <w:t>——作物一次灌水延续时间，7d；</w:t>
      </w:r>
    </w:p>
    <w:p w14:paraId="2B707825">
      <w:pPr>
        <w:bidi w:val="0"/>
        <w:ind w:firstLine="1315" w:firstLineChars="548"/>
        <w:rPr>
          <w:rFonts w:hint="default"/>
        </w:rPr>
      </w:pPr>
      <w:r>
        <w:rPr>
          <w:rFonts w:hint="default"/>
          <w:i/>
          <w:iCs/>
        </w:rPr>
        <w:t>t</w:t>
      </w:r>
      <w:r>
        <w:rPr>
          <w:rFonts w:hint="default"/>
        </w:rPr>
        <w:t>——每天灌水延续时间，2</w:t>
      </w:r>
      <w:r>
        <w:rPr>
          <w:rFonts w:hint="eastAsia"/>
          <w:lang w:val="en-US" w:eastAsia="zh-CN"/>
        </w:rPr>
        <w:t>4</w:t>
      </w:r>
      <w:r>
        <w:rPr>
          <w:rFonts w:hint="default"/>
        </w:rPr>
        <w:t>h。</w:t>
      </w:r>
    </w:p>
    <w:p w14:paraId="77A46045">
      <w:pPr>
        <w:bidi w:val="0"/>
        <w:rPr>
          <w:rFonts w:hint="default"/>
        </w:rPr>
      </w:pPr>
      <w:r>
        <w:rPr>
          <w:rFonts w:hint="default"/>
        </w:rPr>
        <w:t>将上述参数代入计算得</w:t>
      </w:r>
      <w:r>
        <w:rPr>
          <w:rFonts w:hint="eastAsia"/>
          <w:lang w:val="en-US" w:eastAsia="zh-CN"/>
        </w:rPr>
        <w:t>Q</w:t>
      </w:r>
      <w:r>
        <w:rPr>
          <w:rFonts w:hint="default"/>
        </w:rPr>
        <w:t>=5</w:t>
      </w:r>
      <w:r>
        <w:rPr>
          <w:rFonts w:hint="eastAsia"/>
          <w:lang w:val="en-US" w:eastAsia="zh-CN"/>
        </w:rPr>
        <w:t>8</w:t>
      </w:r>
      <w:r>
        <w:rPr>
          <w:rFonts w:hint="default"/>
        </w:rPr>
        <w:t>/</w:t>
      </w:r>
      <w:r>
        <w:rPr>
          <w:rFonts w:hint="eastAsia"/>
          <w:lang w:eastAsia="zh-CN"/>
        </w:rPr>
        <w:t>（</w:t>
      </w:r>
      <w:r>
        <w:rPr>
          <w:rFonts w:hint="default"/>
        </w:rPr>
        <w:t>0.36*7*2</w:t>
      </w:r>
      <w:r>
        <w:rPr>
          <w:rFonts w:hint="eastAsia"/>
          <w:lang w:val="en-US" w:eastAsia="zh-CN"/>
        </w:rPr>
        <w:t>4</w:t>
      </w:r>
      <w:r>
        <w:rPr>
          <w:rFonts w:hint="eastAsia"/>
          <w:lang w:eastAsia="zh-CN"/>
        </w:rPr>
        <w:t>）</w:t>
      </w:r>
      <w:r>
        <w:rPr>
          <w:rFonts w:hint="default"/>
        </w:rPr>
        <w:t>=</w:t>
      </w:r>
      <w:r>
        <w:rPr>
          <w:rFonts w:hint="eastAsia"/>
          <w:lang w:val="en-US" w:eastAsia="zh-CN"/>
        </w:rPr>
        <w:t>0.96</w:t>
      </w:r>
      <w:r>
        <w:rPr>
          <w:rFonts w:hint="default"/>
        </w:rPr>
        <w:t>m³/（s·万亩）</w:t>
      </w:r>
    </w:p>
    <w:p w14:paraId="5A5E3333">
      <w:pPr>
        <w:bidi w:val="0"/>
        <w:rPr>
          <w:rFonts w:hint="default" w:eastAsia="宋体"/>
          <w:lang w:val="en-US" w:eastAsia="zh-CN"/>
        </w:rPr>
      </w:pPr>
      <w:r>
        <w:rPr>
          <w:rFonts w:hint="default"/>
        </w:rPr>
        <w:t>经计算，设计灌水率为</w:t>
      </w:r>
      <w:r>
        <w:rPr>
          <w:rFonts w:hint="eastAsia"/>
          <w:lang w:val="en-US" w:eastAsia="zh-CN"/>
        </w:rPr>
        <w:t>0.96</w:t>
      </w:r>
      <w:r>
        <w:rPr>
          <w:rFonts w:hint="default"/>
        </w:rPr>
        <w:t>m³/（s·万亩）</w:t>
      </w:r>
      <w:r>
        <w:rPr>
          <w:rFonts w:hint="eastAsia"/>
          <w:lang w:eastAsia="zh-CN"/>
        </w:rPr>
        <w:t>，</w:t>
      </w:r>
      <w:r>
        <w:rPr>
          <w:rFonts w:hint="default"/>
        </w:rPr>
        <w:t>即灌溉1万亩农田，需要</w:t>
      </w:r>
      <w:r>
        <w:rPr>
          <w:rFonts w:hint="eastAsia"/>
          <w:lang w:val="en-US" w:eastAsia="zh-CN"/>
        </w:rPr>
        <w:t>0.96</w:t>
      </w:r>
      <w:r>
        <w:rPr>
          <w:rFonts w:hint="default"/>
        </w:rPr>
        <w:t>m³/s 的流量</w:t>
      </w:r>
      <w:r>
        <w:rPr>
          <w:rFonts w:hint="eastAsia" w:cs="Times New Roman"/>
          <w:color w:val="auto"/>
          <w:sz w:val="24"/>
          <w:szCs w:val="24"/>
          <w:highlight w:val="none"/>
          <w:lang w:val="zh-CN" w:eastAsia="zh-CN"/>
        </w:rPr>
        <w:t>。</w:t>
      </w:r>
    </w:p>
    <w:p w14:paraId="23BEB72B">
      <w:pPr>
        <w:pStyle w:val="5"/>
        <w:bidi w:val="0"/>
        <w:rPr>
          <w:rFonts w:hint="default"/>
          <w:lang w:val="zh-CN"/>
        </w:rPr>
      </w:pPr>
      <w:bookmarkStart w:id="51" w:name="_Toc4823"/>
      <w:r>
        <w:rPr>
          <w:rFonts w:hint="eastAsia"/>
          <w:lang w:val="en-US" w:eastAsia="zh-CN"/>
        </w:rPr>
        <w:t xml:space="preserve">4.2.2.2 </w:t>
      </w:r>
      <w:r>
        <w:rPr>
          <w:rFonts w:hint="default"/>
          <w:lang w:val="zh-CN"/>
        </w:rPr>
        <w:t>设计流量计算</w:t>
      </w:r>
      <w:bookmarkEnd w:id="51"/>
    </w:p>
    <w:p w14:paraId="05329B13">
      <w:pPr>
        <w:bidi w:val="0"/>
        <w:rPr>
          <w:rFonts w:hint="default"/>
          <w:lang w:val="zh-CN"/>
        </w:rPr>
      </w:pPr>
      <w:r>
        <w:rPr>
          <w:rFonts w:hint="default"/>
          <w:lang w:val="zh-CN"/>
        </w:rPr>
        <w:t>灌溉制度的有关参数主要根据当地灌溉试验资料和当地实际经验确定，另外农作物的灌溉参数参考《中国主要作物需水量与灌溉》（陈玉民）中的试验资料和实测值确定。</w:t>
      </w:r>
    </w:p>
    <w:p w14:paraId="655F1ED8">
      <w:pPr>
        <w:bidi w:val="0"/>
        <w:rPr>
          <w:rFonts w:hint="default"/>
          <w:lang w:val="zh-CN"/>
        </w:rPr>
      </w:pPr>
      <w:r>
        <w:rPr>
          <w:rFonts w:hint="default"/>
          <w:lang w:val="zh-CN"/>
        </w:rPr>
        <w:t>综合考虑设计渠道的工程量以及水利要求等因素，一般按照斗渠采用续灌，农渠、灌排渠采用轮灌的工作方式进行。</w:t>
      </w:r>
    </w:p>
    <w:p w14:paraId="0C30884D">
      <w:pPr>
        <w:bidi w:val="0"/>
        <w:rPr>
          <w:rFonts w:hint="default"/>
          <w:lang w:val="zh-CN"/>
        </w:rPr>
      </w:pPr>
      <w:r>
        <w:rPr>
          <w:rFonts w:hint="default"/>
          <w:lang w:val="zh-CN"/>
        </w:rPr>
        <w:t>项目区轮灌条件下渠道设计流量，按照下式计算：</w:t>
      </w:r>
    </w:p>
    <w:p w14:paraId="462157BA">
      <w:pPr>
        <w:spacing w:line="360" w:lineRule="auto"/>
        <w:ind w:firstLine="560" w:firstLineChars="200"/>
        <w:jc w:val="center"/>
        <w:rPr>
          <w:rFonts w:hint="default" w:ascii="Times New Roman" w:hAnsi="Times New Roman" w:eastAsia="仿宋_GB2312" w:cs="Times New Roman"/>
          <w:color w:val="auto"/>
          <w:sz w:val="28"/>
          <w:szCs w:val="28"/>
          <w:highlight w:val="none"/>
          <w:lang w:val="zh-CN"/>
        </w:rPr>
      </w:pPr>
      <w:r>
        <w:rPr>
          <w:rFonts w:hint="default" w:ascii="Times New Roman" w:hAnsi="Times New Roman" w:eastAsia="仿宋_GB2312" w:cs="Times New Roman"/>
          <w:color w:val="auto"/>
          <w:sz w:val="28"/>
          <w:szCs w:val="28"/>
          <w:highlight w:val="none"/>
        </w:rPr>
        <w:object>
          <v:shape id="_x0000_i1034" o:spt="75" type="#_x0000_t75" style="height:31.15pt;width:40.85pt;" o:ole="t" filled="f" o:preferrelative="t" stroked="f" coordsize="21600,21600">
            <v:path/>
            <v:fill on="f" focussize="0,0"/>
            <v:stroke on="f" joinstyle="miter"/>
            <v:imagedata r:id="rId31" o:title=""/>
            <o:lock v:ext="edit" aspectratio="t"/>
            <w10:wrap type="none"/>
            <w10:anchorlock/>
          </v:shape>
          <o:OLEObject Type="Embed" ProgID="Equation.3" ShapeID="_x0000_i1034" DrawAspect="Content" ObjectID="_1468075735" r:id="rId30">
            <o:LockedField>false</o:LockedField>
          </o:OLEObject>
        </w:object>
      </w:r>
    </w:p>
    <w:p w14:paraId="05149946">
      <w:pPr>
        <w:bidi w:val="0"/>
        <w:rPr>
          <w:rFonts w:hint="default"/>
        </w:rPr>
      </w:pPr>
      <w:r>
        <w:rPr>
          <w:rFonts w:hint="default"/>
        </w:rPr>
        <w:t>式中：</w:t>
      </w:r>
      <w:r>
        <w:rPr>
          <w:rFonts w:hint="default" w:ascii="Times New Roman" w:hAnsi="Times New Roman" w:eastAsia="仿宋_GB2312" w:cs="Times New Roman"/>
          <w:color w:val="auto"/>
          <w:szCs w:val="28"/>
          <w:highlight w:val="none"/>
        </w:rPr>
        <w:object>
          <v:shape id="_x0000_i1035" o:spt="75" type="#_x0000_t75" style="height:15.05pt;width:11.8pt;" o:ole="t" filled="f" o:preferrelative="t" stroked="f" coordsize="21600,21600">
            <v:path/>
            <v:fill on="f" focussize="0,0"/>
            <v:stroke on="f" joinstyle="miter"/>
            <v:imagedata r:id="rId33" o:title=""/>
            <o:lock v:ext="edit" aspectratio="t"/>
            <w10:wrap type="none"/>
            <w10:anchorlock/>
          </v:shape>
          <o:OLEObject Type="Embed" ProgID="Equation.3" ShapeID="_x0000_i1035" DrawAspect="Content" ObjectID="_1468075736" r:id="rId32">
            <o:LockedField>false</o:LockedField>
          </o:OLEObject>
        </w:object>
      </w:r>
      <w:r>
        <w:rPr>
          <w:rFonts w:hint="default"/>
        </w:rPr>
        <w:t>——设计流量</w:t>
      </w:r>
      <w:r>
        <w:rPr>
          <w:rFonts w:hint="eastAsia"/>
          <w:lang w:eastAsia="zh-CN"/>
        </w:rPr>
        <w:t>（</w:t>
      </w:r>
      <w:r>
        <w:rPr>
          <w:rFonts w:hint="default"/>
        </w:rPr>
        <w:t>m</w:t>
      </w:r>
      <w:r>
        <w:rPr>
          <w:rFonts w:hint="default"/>
          <w:vertAlign w:val="superscript"/>
        </w:rPr>
        <w:t>3</w:t>
      </w:r>
      <w:r>
        <w:rPr>
          <w:rFonts w:hint="default"/>
        </w:rPr>
        <w:t>／s</w:t>
      </w:r>
      <w:r>
        <w:rPr>
          <w:rFonts w:hint="eastAsia"/>
          <w:lang w:eastAsia="zh-CN"/>
        </w:rPr>
        <w:t>）</w:t>
      </w:r>
      <w:r>
        <w:rPr>
          <w:rFonts w:hint="default"/>
        </w:rPr>
        <w:t>；</w:t>
      </w:r>
    </w:p>
    <w:p w14:paraId="012D2CA9">
      <w:pPr>
        <w:bidi w:val="0"/>
        <w:ind w:firstLine="1135" w:firstLineChars="473"/>
      </w:pPr>
      <w:r>
        <w:rPr>
          <w:rFonts w:eastAsia="仿宋_GB2312"/>
          <w:color w:val="auto"/>
          <w:szCs w:val="28"/>
          <w:highlight w:val="none"/>
        </w:rPr>
        <w:object>
          <v:shape id="_x0000_i1036" o:spt="75" type="#_x0000_t75" style="height:12.9pt;width:11.8pt;" o:ole="t" filled="f" o:preferrelative="t" stroked="f" coordsize="21600,21600">
            <v:path/>
            <v:fill on="f" focussize="0,0"/>
            <v:stroke on="f" joinstyle="miter"/>
            <v:imagedata r:id="rId35" o:title=""/>
            <o:lock v:ext="edit" aspectratio="t"/>
            <w10:wrap type="none"/>
            <w10:anchorlock/>
          </v:shape>
          <o:OLEObject Type="Embed" ProgID="Equation.3" ShapeID="_x0000_i1036" DrawAspect="Content" ObjectID="_1468075737" r:id="rId34">
            <o:LockedField>false</o:LockedField>
          </o:OLEObject>
        </w:object>
      </w:r>
      <w:r>
        <w:t>——灌溉面积</w:t>
      </w:r>
      <w:r>
        <w:rPr>
          <w:rFonts w:hint="eastAsia"/>
          <w:lang w:eastAsia="zh-CN"/>
        </w:rPr>
        <w:t>（</w:t>
      </w:r>
      <w:r>
        <w:t>万亩</w:t>
      </w:r>
      <w:r>
        <w:rPr>
          <w:rFonts w:hint="eastAsia"/>
          <w:lang w:eastAsia="zh-CN"/>
        </w:rPr>
        <w:t>）</w:t>
      </w:r>
      <w:r>
        <w:t>；</w:t>
      </w:r>
    </w:p>
    <w:p w14:paraId="1D31E51D">
      <w:pPr>
        <w:bidi w:val="0"/>
        <w:ind w:firstLine="1135" w:firstLineChars="473"/>
      </w:pPr>
      <w:r>
        <w:t>η—该灌溉渠道至田间的灌溉水利用系数为0.7</w:t>
      </w:r>
      <w:r>
        <w:rPr>
          <w:rFonts w:hint="eastAsia"/>
          <w:lang w:val="en-US" w:eastAsia="zh-CN"/>
        </w:rPr>
        <w:t>5</w:t>
      </w:r>
      <w:r>
        <w:t>；</w:t>
      </w:r>
    </w:p>
    <w:p w14:paraId="72060474">
      <w:pPr>
        <w:bidi w:val="0"/>
        <w:ind w:firstLine="1135" w:firstLineChars="473"/>
      </w:pPr>
      <w:r>
        <w:rPr>
          <w:rFonts w:eastAsia="仿宋_GB2312"/>
          <w:color w:val="auto"/>
          <w:szCs w:val="28"/>
          <w:highlight w:val="none"/>
        </w:rPr>
        <w:object>
          <v:shape id="_x0000_i1037" o:spt="75" type="#_x0000_t75" style="height:12.9pt;width:9.65pt;" o:ole="t" filled="f" o:preferrelative="t" stroked="f" coordsize="21600,21600">
            <v:path/>
            <v:fill on="f" focussize="0,0"/>
            <v:stroke on="f" joinstyle="miter"/>
            <v:imagedata r:id="rId37" o:title=""/>
            <o:lock v:ext="edit" aspectratio="t"/>
            <w10:wrap type="none"/>
            <w10:anchorlock/>
          </v:shape>
          <o:OLEObject Type="Embed" ProgID="Equation.3" ShapeID="_x0000_i1037" DrawAspect="Content" ObjectID="_1468075738" r:id="rId36">
            <o:LockedField>false</o:LockedField>
          </o:OLEObject>
        </w:object>
      </w:r>
      <w:r>
        <w:t>——自流灌溉方式下设计净灌水率</w:t>
      </w:r>
      <w:r>
        <w:rPr>
          <w:rFonts w:hint="eastAsia"/>
          <w:lang w:eastAsia="zh-CN"/>
        </w:rPr>
        <w:t>（</w:t>
      </w:r>
      <w:r>
        <w:t>m</w:t>
      </w:r>
      <w:r>
        <w:rPr>
          <w:vertAlign w:val="superscript"/>
        </w:rPr>
        <w:t>3</w:t>
      </w:r>
      <w:r>
        <w:t>/（s•万亩）</w:t>
      </w:r>
      <w:r>
        <w:rPr>
          <w:rFonts w:hint="eastAsia"/>
          <w:lang w:eastAsia="zh-CN"/>
        </w:rPr>
        <w:t>）</w:t>
      </w:r>
      <w:r>
        <w:t>。</w:t>
      </w:r>
    </w:p>
    <w:p w14:paraId="3F81AC7F">
      <w:pPr>
        <w:pStyle w:val="5"/>
        <w:bidi w:val="0"/>
        <w:rPr>
          <w:rFonts w:hint="default"/>
          <w:lang w:val="zh-CN"/>
        </w:rPr>
      </w:pPr>
      <w:bookmarkStart w:id="52" w:name="_Toc24410"/>
      <w:r>
        <w:rPr>
          <w:rFonts w:hint="eastAsia"/>
          <w:lang w:val="en-US" w:eastAsia="zh-CN"/>
        </w:rPr>
        <w:t xml:space="preserve">4.2.2.3 </w:t>
      </w:r>
      <w:r>
        <w:rPr>
          <w:rFonts w:hint="default"/>
          <w:lang w:val="zh-CN"/>
        </w:rPr>
        <w:t>加大流量计算</w:t>
      </w:r>
      <w:bookmarkEnd w:id="52"/>
    </w:p>
    <w:p w14:paraId="7DAFC895">
      <w:pPr>
        <w:bidi w:val="0"/>
        <w:rPr>
          <w:rFonts w:hint="eastAsia"/>
          <w:lang w:val="zh-CN"/>
        </w:rPr>
      </w:pPr>
      <w:r>
        <w:rPr>
          <w:rFonts w:hint="eastAsia"/>
          <w:lang w:val="zh-CN"/>
        </w:rPr>
        <w:t>本次项目区渠道为续灌，因此按设计流量、加大流量和最小流量进行水力计算。续灌渠道的设计要求如下：</w:t>
      </w:r>
    </w:p>
    <w:p w14:paraId="1CCAEB7A">
      <w:pPr>
        <w:bidi w:val="0"/>
        <w:rPr>
          <w:rFonts w:hint="eastAsia"/>
          <w:lang w:val="zh-CN"/>
        </w:rPr>
      </w:pPr>
      <w:r>
        <w:rPr>
          <w:rFonts w:hint="eastAsia"/>
          <w:lang w:val="en-US" w:eastAsia="zh-CN"/>
        </w:rPr>
        <w:t>（1）</w:t>
      </w:r>
      <w:r>
        <w:rPr>
          <w:rFonts w:hint="eastAsia"/>
          <w:lang w:val="zh-CN"/>
        </w:rPr>
        <w:t>正常工作条件下的各级渠道水力要素按设计流量计算确定，其平均流速应满足渠道不冲不淤的要求。</w:t>
      </w:r>
    </w:p>
    <w:p w14:paraId="4D26972A">
      <w:pPr>
        <w:bidi w:val="0"/>
        <w:rPr>
          <w:rFonts w:hint="eastAsia"/>
          <w:lang w:val="zh-CN"/>
        </w:rPr>
      </w:pPr>
      <w:r>
        <w:rPr>
          <w:rFonts w:hint="eastAsia"/>
          <w:lang w:val="en-US" w:eastAsia="zh-CN"/>
        </w:rPr>
        <w:t>（2）</w:t>
      </w:r>
      <w:r>
        <w:rPr>
          <w:rFonts w:hint="eastAsia"/>
          <w:lang w:val="zh-CN"/>
        </w:rPr>
        <w:t>续灌渠道的岸顶超高和渠深应按加大流量计算，并要按加大流量验算渠道的不冲流速。</w:t>
      </w:r>
    </w:p>
    <w:p w14:paraId="44917BEF">
      <w:pPr>
        <w:bidi w:val="0"/>
        <w:rPr>
          <w:rFonts w:hint="eastAsia"/>
          <w:lang w:val="zh-CN"/>
        </w:rPr>
      </w:pPr>
      <w:r>
        <w:rPr>
          <w:rFonts w:hint="eastAsia"/>
          <w:lang w:val="zh-CN"/>
        </w:rPr>
        <w:t>续灌渠道的设计流量计算公式如下：</w:t>
      </w:r>
    </w:p>
    <w:p w14:paraId="1FE41E2B">
      <w:pPr>
        <w:spacing w:line="360" w:lineRule="auto"/>
        <w:ind w:firstLine="560" w:firstLineChars="200"/>
        <w:jc w:val="center"/>
        <w:rPr>
          <w:rFonts w:hint="eastAsia" w:ascii="Times New Roman" w:hAnsi="Times New Roman" w:eastAsia="仿宋_GB2312" w:cs="Times New Roman"/>
          <w:color w:val="auto"/>
          <w:sz w:val="28"/>
          <w:szCs w:val="28"/>
          <w:highlight w:val="none"/>
          <w:lang w:val="zh-CN"/>
        </w:rPr>
      </w:pPr>
      <w:r>
        <w:rPr>
          <w:rFonts w:hint="eastAsia" w:ascii="Times New Roman" w:hAnsi="Times New Roman" w:eastAsia="仿宋_GB2312" w:cs="Times New Roman"/>
          <w:color w:val="auto"/>
          <w:sz w:val="28"/>
          <w:szCs w:val="28"/>
          <w:highlight w:val="none"/>
          <w:lang w:val="zh-CN"/>
        </w:rPr>
        <w:object>
          <v:shape id="_x0000_i1038" o:spt="75" type="#_x0000_t75" style="height:33.6pt;width:40.1pt;" o:ole="t" filled="f" o:preferrelative="t" stroked="f" coordsize="21600,21600">
            <v:path/>
            <v:fill on="f" focussize="0,0"/>
            <v:stroke on="f"/>
            <v:imagedata r:id="rId31" o:title=""/>
            <o:lock v:ext="edit" aspectratio="t"/>
            <w10:wrap type="none"/>
            <w10:anchorlock/>
          </v:shape>
          <o:OLEObject Type="Embed" ProgID="Equation.3" ShapeID="_x0000_i1038" DrawAspect="Content" ObjectID="_1468075739" r:id="rId38">
            <o:LockedField>false</o:LockedField>
          </o:OLEObject>
        </w:object>
      </w:r>
    </w:p>
    <w:p w14:paraId="3CF022FC">
      <w:pPr>
        <w:bidi w:val="0"/>
        <w:rPr>
          <w:rFonts w:hint="eastAsia"/>
          <w:lang w:val="zh-CN"/>
        </w:rPr>
      </w:pPr>
      <w:r>
        <w:rPr>
          <w:rFonts w:hint="eastAsia"/>
          <w:lang w:val="zh-CN"/>
        </w:rPr>
        <w:t>其中：</w:t>
      </w:r>
      <w:r>
        <w:rPr>
          <w:rFonts w:hint="eastAsia"/>
          <w:i/>
          <w:iCs/>
          <w:lang w:val="zh-CN"/>
        </w:rPr>
        <w:t>Q</w:t>
      </w:r>
      <w:r>
        <w:rPr>
          <w:rFonts w:hint="eastAsia"/>
          <w:lang w:val="zh-CN"/>
        </w:rPr>
        <w:t>—渠道设计流量（m³/s）；</w:t>
      </w:r>
    </w:p>
    <w:p w14:paraId="1A5D4CFD">
      <w:pPr>
        <w:bidi w:val="0"/>
        <w:ind w:firstLine="1135" w:firstLineChars="473"/>
        <w:rPr>
          <w:rFonts w:hint="eastAsia"/>
          <w:lang w:val="zh-CN"/>
        </w:rPr>
      </w:pPr>
      <w:r>
        <w:rPr>
          <w:rFonts w:hint="eastAsia"/>
          <w:i/>
          <w:iCs/>
          <w:lang w:val="zh-CN"/>
        </w:rPr>
        <w:t>A</w:t>
      </w:r>
      <w:r>
        <w:rPr>
          <w:rFonts w:hint="eastAsia"/>
          <w:lang w:val="zh-CN"/>
        </w:rPr>
        <w:t>—该渠道灌溉面积（公顷）；</w:t>
      </w:r>
    </w:p>
    <w:p w14:paraId="48F7898F">
      <w:pPr>
        <w:bidi w:val="0"/>
        <w:ind w:firstLine="1135" w:firstLineChars="473"/>
        <w:rPr>
          <w:rFonts w:hint="eastAsia"/>
          <w:lang w:val="zh-CN"/>
        </w:rPr>
      </w:pPr>
      <w:r>
        <w:rPr>
          <w:rFonts w:hint="eastAsia"/>
          <w:i/>
          <w:iCs/>
          <w:lang w:val="zh-CN"/>
        </w:rPr>
        <w:t>q</w:t>
      </w:r>
      <w:r>
        <w:rPr>
          <w:rFonts w:hint="eastAsia"/>
          <w:lang w:val="zh-CN"/>
        </w:rPr>
        <w:t>—灌水模数（m³/s·公顷）；</w:t>
      </w:r>
    </w:p>
    <w:p w14:paraId="48E4021B">
      <w:pPr>
        <w:bidi w:val="0"/>
        <w:ind w:firstLine="1135" w:firstLineChars="473"/>
        <w:rPr>
          <w:rFonts w:hint="eastAsia"/>
          <w:lang w:val="zh-CN"/>
        </w:rPr>
      </w:pPr>
      <w:r>
        <w:rPr>
          <w:rFonts w:hint="eastAsia"/>
          <w:i/>
          <w:iCs/>
          <w:lang w:val="zh-CN"/>
        </w:rPr>
        <w:t>η</w:t>
      </w:r>
      <w:r>
        <w:rPr>
          <w:rFonts w:hint="eastAsia"/>
          <w:lang w:val="zh-CN"/>
        </w:rPr>
        <w:t>—该灌溉渠道至田间的灌溉水利用系数，取0.7</w:t>
      </w:r>
      <w:r>
        <w:rPr>
          <w:rFonts w:hint="eastAsia"/>
          <w:lang w:val="en-US" w:eastAsia="zh-CN"/>
        </w:rPr>
        <w:t>5</w:t>
      </w:r>
      <w:r>
        <w:rPr>
          <w:rFonts w:hint="eastAsia"/>
          <w:lang w:val="zh-CN"/>
        </w:rPr>
        <w:t>。</w:t>
      </w:r>
    </w:p>
    <w:p w14:paraId="1E32EA33">
      <w:pPr>
        <w:bidi w:val="0"/>
        <w:rPr>
          <w:rFonts w:hint="eastAsia"/>
          <w:lang w:val="zh-CN"/>
        </w:rPr>
      </w:pPr>
      <w:r>
        <w:rPr>
          <w:rFonts w:hint="eastAsia"/>
          <w:lang w:val="zh-CN"/>
        </w:rPr>
        <w:t>项目区内斗、农渠均为续灌渠道，考虑加大流量，渠道加大流量的计算以设计流量为基础，公式如下：</w:t>
      </w:r>
    </w:p>
    <w:p w14:paraId="5D091E2D">
      <w:pPr>
        <w:spacing w:line="360" w:lineRule="auto"/>
        <w:ind w:firstLine="560" w:firstLineChars="200"/>
        <w:jc w:val="center"/>
        <w:rPr>
          <w:rFonts w:hint="eastAsia" w:ascii="Times New Roman" w:hAnsi="Times New Roman" w:eastAsia="仿宋_GB2312" w:cs="Times New Roman"/>
          <w:color w:val="auto"/>
          <w:sz w:val="28"/>
          <w:szCs w:val="28"/>
          <w:highlight w:val="none"/>
          <w:lang w:val="zh-CN"/>
        </w:rPr>
      </w:pPr>
      <w:r>
        <w:rPr>
          <w:rFonts w:hint="eastAsia" w:ascii="Times New Roman" w:hAnsi="Times New Roman" w:eastAsia="仿宋_GB2312" w:cs="Times New Roman"/>
          <w:color w:val="auto"/>
          <w:sz w:val="28"/>
          <w:szCs w:val="28"/>
          <w:highlight w:val="none"/>
          <w:lang w:val="zh-CN"/>
        </w:rPr>
        <w:object>
          <v:shape id="_x0000_i1039" o:spt="75" type="#_x0000_t75" style="height:20.3pt;width:57.35pt;" o:ole="t" filled="f" o:preferrelative="t" stroked="f" coordsize="21600,21600">
            <v:path/>
            <v:fill on="f" focussize="0,0"/>
            <v:stroke on="f"/>
            <v:imagedata r:id="rId40" o:title=""/>
            <o:lock v:ext="edit" aspectratio="t"/>
            <w10:wrap type="none"/>
            <w10:anchorlock/>
          </v:shape>
          <o:OLEObject Type="Embed" ProgID="Equation.3" ShapeID="_x0000_i1039" DrawAspect="Content" ObjectID="_1468075740" r:id="rId39">
            <o:LockedField>false</o:LockedField>
          </o:OLEObject>
        </w:object>
      </w:r>
    </w:p>
    <w:p w14:paraId="1EFA642E">
      <w:pPr>
        <w:bidi w:val="0"/>
        <w:rPr>
          <w:rFonts w:hint="eastAsia"/>
          <w:lang w:val="zh-CN"/>
        </w:rPr>
      </w:pPr>
      <w:r>
        <w:rPr>
          <w:rFonts w:hint="eastAsia"/>
          <w:lang w:val="zh-CN"/>
        </w:rPr>
        <w:t>式中：</w:t>
      </w:r>
      <w:r>
        <w:rPr>
          <w:rFonts w:hint="eastAsia"/>
          <w:i/>
          <w:iCs/>
          <w:lang w:val="en-US" w:eastAsia="zh-CN"/>
        </w:rPr>
        <w:t>Qj</w:t>
      </w:r>
      <w:r>
        <w:rPr>
          <w:rFonts w:hint="eastAsia"/>
          <w:lang w:val="zh-CN"/>
        </w:rPr>
        <w:t>——渠道加大流量，（m³/s）；</w:t>
      </w:r>
    </w:p>
    <w:p w14:paraId="0533FA83">
      <w:pPr>
        <w:bidi w:val="0"/>
        <w:ind w:firstLine="1135" w:firstLineChars="473"/>
        <w:rPr>
          <w:rFonts w:hint="eastAsia"/>
          <w:lang w:val="zh-CN"/>
        </w:rPr>
      </w:pPr>
      <w:r>
        <w:rPr>
          <w:rFonts w:hint="eastAsia"/>
          <w:i/>
          <w:iCs/>
          <w:lang w:val="zh-CN"/>
        </w:rPr>
        <w:t>Q</w:t>
      </w:r>
      <w:r>
        <w:rPr>
          <w:rFonts w:hint="eastAsia"/>
          <w:lang w:val="zh-CN"/>
        </w:rPr>
        <w:t>——渠道设计流量，（m³/s）；</w:t>
      </w:r>
    </w:p>
    <w:p w14:paraId="6949AC90">
      <w:pPr>
        <w:bidi w:val="0"/>
        <w:ind w:firstLine="1135" w:firstLineChars="473"/>
        <w:rPr>
          <w:rFonts w:hint="eastAsia"/>
          <w:lang w:val="zh-CN"/>
        </w:rPr>
      </w:pPr>
      <w:r>
        <w:rPr>
          <w:rFonts w:hint="eastAsia"/>
          <w:i/>
          <w:iCs/>
          <w:lang w:val="zh-CN"/>
        </w:rPr>
        <w:t>J</w:t>
      </w:r>
      <w:r>
        <w:rPr>
          <w:rFonts w:hint="eastAsia"/>
          <w:lang w:val="zh-CN"/>
        </w:rPr>
        <w:t>——渠道流量加大系数，此处取1.30。</w:t>
      </w:r>
    </w:p>
    <w:p w14:paraId="77BBC6CD">
      <w:pPr>
        <w:bidi w:val="0"/>
        <w:rPr>
          <w:rFonts w:hint="eastAsia" w:ascii="Times New Roman" w:hAnsi="Times New Roman" w:eastAsia="仿宋_GB2312" w:cs="Times New Roman"/>
          <w:color w:val="auto"/>
          <w:szCs w:val="28"/>
          <w:highlight w:val="none"/>
          <w:lang w:val="en-US" w:eastAsia="zh-CN"/>
        </w:rPr>
      </w:pPr>
      <w:r>
        <w:rPr>
          <w:rFonts w:ascii="Times New Roman" w:hAnsi="Times New Roman" w:cs="Times New Roman"/>
          <w:color w:val="auto"/>
          <w:sz w:val="24"/>
          <w:szCs w:val="24"/>
          <w:highlight w:val="none"/>
          <w:lang w:eastAsia="zh-CN"/>
        </w:rPr>
        <w:t>依据《水工设计手册》数据，一般当渠道流量小于1m</w:t>
      </w:r>
      <w:r>
        <w:rPr>
          <w:rFonts w:ascii="Times New Roman" w:hAnsi="Times New Roman" w:cs="Times New Roman"/>
          <w:color w:val="auto"/>
          <w:sz w:val="24"/>
          <w:szCs w:val="24"/>
          <w:highlight w:val="none"/>
          <w:vertAlign w:val="superscript"/>
          <w:lang w:eastAsia="zh-CN"/>
        </w:rPr>
        <w:t>3</w:t>
      </w:r>
      <w:r>
        <w:rPr>
          <w:rFonts w:ascii="Times New Roman" w:hAnsi="Times New Roman" w:cs="Times New Roman"/>
          <w:color w:val="auto"/>
          <w:sz w:val="24"/>
          <w:szCs w:val="24"/>
          <w:highlight w:val="none"/>
          <w:lang w:eastAsia="zh-CN"/>
        </w:rPr>
        <w:t>/s时，加大流量20％～30％；流量在1～10m</w:t>
      </w:r>
      <w:r>
        <w:rPr>
          <w:rFonts w:ascii="Times New Roman" w:hAnsi="Times New Roman" w:cs="Times New Roman"/>
          <w:color w:val="auto"/>
          <w:sz w:val="24"/>
          <w:szCs w:val="24"/>
          <w:highlight w:val="none"/>
          <w:vertAlign w:val="superscript"/>
          <w:lang w:eastAsia="zh-CN"/>
        </w:rPr>
        <w:t>3</w:t>
      </w:r>
      <w:r>
        <w:rPr>
          <w:rFonts w:ascii="Times New Roman" w:hAnsi="Times New Roman" w:cs="Times New Roman"/>
          <w:color w:val="auto"/>
          <w:sz w:val="24"/>
          <w:szCs w:val="24"/>
          <w:highlight w:val="none"/>
          <w:lang w:eastAsia="zh-CN"/>
        </w:rPr>
        <w:t>/s时，加大流量15％～20％；流量大于10m</w:t>
      </w:r>
      <w:r>
        <w:rPr>
          <w:rFonts w:ascii="Times New Roman" w:hAnsi="Times New Roman" w:cs="Times New Roman"/>
          <w:color w:val="auto"/>
          <w:sz w:val="24"/>
          <w:szCs w:val="24"/>
          <w:highlight w:val="none"/>
          <w:vertAlign w:val="superscript"/>
          <w:lang w:eastAsia="zh-CN"/>
        </w:rPr>
        <w:t>3</w:t>
      </w:r>
      <w:r>
        <w:rPr>
          <w:rFonts w:ascii="Times New Roman" w:hAnsi="Times New Roman" w:cs="Times New Roman"/>
          <w:color w:val="auto"/>
          <w:sz w:val="24"/>
          <w:szCs w:val="24"/>
          <w:highlight w:val="none"/>
          <w:lang w:eastAsia="zh-CN"/>
        </w:rPr>
        <w:t>/s时，加大流量10％～15％</w:t>
      </w:r>
      <w:r>
        <w:rPr>
          <w:rFonts w:hint="eastAsia"/>
          <w:lang w:val="en-US" w:eastAsia="zh-CN"/>
        </w:rPr>
        <w:t>。</w:t>
      </w:r>
    </w:p>
    <w:p w14:paraId="71D3FF20">
      <w:pPr>
        <w:pStyle w:val="5"/>
        <w:bidi w:val="0"/>
        <w:rPr>
          <w:rFonts w:hint="eastAsia"/>
          <w:lang w:val="zh-CN"/>
        </w:rPr>
      </w:pPr>
      <w:bookmarkStart w:id="53" w:name="_Toc21904"/>
      <w:r>
        <w:rPr>
          <w:rFonts w:hint="eastAsia"/>
          <w:lang w:val="en-US" w:eastAsia="zh-CN"/>
        </w:rPr>
        <w:t xml:space="preserve">4.2.2.4 </w:t>
      </w:r>
      <w:r>
        <w:rPr>
          <w:rFonts w:hint="eastAsia"/>
          <w:lang w:val="zh-CN"/>
        </w:rPr>
        <w:t>渠道纵断面设计</w:t>
      </w:r>
      <w:bookmarkEnd w:id="53"/>
    </w:p>
    <w:p w14:paraId="78AA1691">
      <w:pPr>
        <w:bidi w:val="0"/>
        <w:rPr>
          <w:rFonts w:hint="eastAsia"/>
          <w:lang w:val="zh-CN"/>
        </w:rPr>
      </w:pPr>
      <w:r>
        <w:rPr>
          <w:rFonts w:hint="eastAsia"/>
          <w:lang w:val="zh-CN"/>
        </w:rPr>
        <w:t>渠道纵断面设计任务是根据灌溉水位要求确定渠道的空间位置，先确定不同桩号处的设计水位高程，再根据设计水位确定渠底高程、堤顶高程、最小水位等。</w:t>
      </w:r>
    </w:p>
    <w:p w14:paraId="2F89F6B2">
      <w:pPr>
        <w:bidi w:val="0"/>
        <w:rPr>
          <w:rFonts w:hint="eastAsia"/>
          <w:lang w:val="zh-CN"/>
        </w:rPr>
      </w:pPr>
      <w:r>
        <w:rPr>
          <w:rFonts w:hint="eastAsia"/>
          <w:lang w:val="zh-CN"/>
        </w:rPr>
        <w:t>为保证渠道所控制的灌溉区域都能进行自流灌溉，各级渠道在各分水点处都必须具有足够的水位高程。各分水口的水位控制高程，是根据灌溉田面控制点高程加上渠道沿程水头损失以及通过各种建筑物的局部水头损失，自下而上逐级推算得出。</w:t>
      </w:r>
    </w:p>
    <w:p w14:paraId="7FC972EC">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40" o:spt="75" type="#_x0000_t75" style="height:18.5pt;width:121.15pt;" o:ole="t" filled="f" o:preferrelative="t" stroked="f" coordsize="21600,21600">
            <v:path/>
            <v:fill on="f" focussize="0,0"/>
            <v:stroke on="f"/>
            <v:imagedata r:id="rId42" chromakey="#FFFFFF" o:title=""/>
            <o:lock v:ext="edit" aspectratio="t"/>
            <v:shadow on="t" obscured="f" color="#A0A0A4" opacity="65536f" offset="0pt,0pt" offset2="0pt,0pt" origin="0f,0f" matrix="65536f,0f,0f,65536f,0,0"/>
            <w10:wrap type="none"/>
            <w10:anchorlock/>
          </v:shape>
          <o:OLEObject Type="Embed" ProgID="Equation.3" ShapeID="_x0000_i1040" DrawAspect="Content" ObjectID="_1468075741" r:id="rId41">
            <o:LockedField>false</o:LockedField>
          </o:OLEObject>
        </w:object>
      </w:r>
    </w:p>
    <w:p w14:paraId="23BC29CD">
      <w:pPr>
        <w:bidi w:val="0"/>
        <w:rPr>
          <w:rFonts w:hint="eastAsia"/>
        </w:rPr>
      </w:pPr>
      <w:r>
        <w:rPr>
          <w:rFonts w:hint="eastAsia"/>
        </w:rPr>
        <w:t>式中：</w:t>
      </w:r>
    </w:p>
    <w:p w14:paraId="54DF9428">
      <w:pPr>
        <w:bidi w:val="0"/>
        <w:ind w:firstLine="901" w:firstLineChars="374"/>
        <w:rPr>
          <w:rFonts w:hint="eastAsia"/>
        </w:rPr>
      </w:pPr>
      <w:r>
        <w:rPr>
          <w:rFonts w:hint="eastAsia" w:ascii="Times New Roman" w:hAnsi="Times New Roman" w:eastAsia="仿宋_GB2312" w:cs="Times New Roman"/>
          <w:b/>
          <w:bCs/>
          <w:color w:val="auto"/>
          <w:szCs w:val="28"/>
          <w:highlight w:val="none"/>
        </w:rPr>
        <w:object>
          <v:shape id="_x0000_i1041" o:spt="75" type="#_x0000_t75" style="height:18.25pt;width:21.5pt;" o:ole="t" filled="f" o:preferrelative="t" stroked="f" coordsize="21600,21600">
            <v:path/>
            <v:fill on="f" opacity="0f" focussize="0,0"/>
            <v:stroke on="f" joinstyle="miter"/>
            <v:imagedata r:id="rId44" chromakey="#FFFFFF" o:title=""/>
            <o:lock v:ext="edit" aspectratio="t"/>
            <v:shadow on="t" color="#A0A0A4" offset="0pt,0pt"/>
            <w10:wrap type="none"/>
            <w10:anchorlock/>
          </v:shape>
          <o:OLEObject Type="Embed" ProgID="Equation.3" ShapeID="_x0000_i1041" DrawAspect="Content" ObjectID="_1468075742" r:id="rId43">
            <o:LockedField>false</o:LockedField>
          </o:OLEObject>
        </w:object>
      </w:r>
      <w:r>
        <w:rPr>
          <w:rFonts w:hint="eastAsia"/>
        </w:rPr>
        <w:t>——渠道进水口处的设计水位（m）；</w:t>
      </w:r>
    </w:p>
    <w:p w14:paraId="78801447">
      <w:pPr>
        <w:bidi w:val="0"/>
        <w:ind w:firstLine="897" w:firstLineChars="374"/>
        <w:rPr>
          <w:rFonts w:hint="eastAsia"/>
        </w:rPr>
      </w:pPr>
      <w:r>
        <w:rPr>
          <w:rFonts w:hint="eastAsia" w:ascii="Times New Roman" w:hAnsi="Times New Roman" w:eastAsia="仿宋_GB2312" w:cs="Times New Roman"/>
          <w:color w:val="auto"/>
          <w:szCs w:val="28"/>
          <w:highlight w:val="none"/>
        </w:rPr>
        <w:object>
          <v:shape id="_x0000_i1042" o:spt="75" type="#_x0000_t75" style="height:18.25pt;width:15.05pt;" o:ole="t" filled="f" o:preferrelative="t" stroked="f" coordsize="21600,21600">
            <v:path/>
            <v:fill on="f" opacity="0f" focussize="0,0"/>
            <v:stroke on="f" joinstyle="miter"/>
            <v:imagedata r:id="rId46" chromakey="#FFFFFF" o:title=""/>
            <o:lock v:ext="edit" aspectratio="t"/>
            <v:shadow on="t" color="#A0A0A4" offset="0pt,0pt"/>
            <w10:wrap type="none"/>
            <w10:anchorlock/>
          </v:shape>
          <o:OLEObject Type="Embed" ProgID="Equation.3" ShapeID="_x0000_i1042" DrawAspect="Content" ObjectID="_1468075743" r:id="rId45">
            <o:LockedField>false</o:LockedField>
          </o:OLEObject>
        </w:object>
      </w:r>
      <w:r>
        <w:rPr>
          <w:rFonts w:hint="eastAsia"/>
        </w:rPr>
        <w:t>——渠道灌溉范围内控制点的地面高程（m），控制点是指较难灌到水的地面，在地形均匀变化的地区，控制点选择的原则是：如沿渠地面坡度大于渠道比降，渠道进水口附近的地面最难控制；反之，渠尾地面最难控制；</w:t>
      </w:r>
    </w:p>
    <w:p w14:paraId="5B34FCCE">
      <w:pPr>
        <w:bidi w:val="0"/>
        <w:ind w:firstLine="897" w:firstLineChars="374"/>
        <w:rPr>
          <w:rFonts w:hint="eastAsia"/>
        </w:rPr>
      </w:pPr>
      <w:r>
        <w:rPr>
          <w:rFonts w:hint="eastAsia" w:ascii="Times New Roman" w:hAnsi="Times New Roman" w:eastAsia="仿宋_GB2312" w:cs="Times New Roman"/>
          <w:color w:val="auto"/>
          <w:szCs w:val="28"/>
          <w:highlight w:val="none"/>
        </w:rPr>
        <w:object>
          <v:shape id="_x0000_i1043" o:spt="75" type="#_x0000_t75" style="height:13.95pt;width:16.1pt;" o:ole="t" filled="f" o:preferrelative="t" stroked="f" coordsize="21600,21600">
            <v:path/>
            <v:fill on="f" opacity="0f" focussize="0,0"/>
            <v:stroke on="f" joinstyle="miter"/>
            <v:imagedata r:id="rId48" chromakey="#FFFFFF" o:title=""/>
            <o:lock v:ext="edit" aspectratio="t"/>
            <v:shadow on="t" color="#A0A0A4" offset="0pt,0pt"/>
            <w10:wrap type="none"/>
            <w10:anchorlock/>
          </v:shape>
          <o:OLEObject Type="Embed" ProgID="Equation.3" ShapeID="_x0000_i1043" DrawAspect="Content" ObjectID="_1468075744" r:id="rId47">
            <o:LockedField>false</o:LockedField>
          </o:OLEObject>
        </w:object>
      </w:r>
      <w:r>
        <w:rPr>
          <w:rFonts w:hint="eastAsia"/>
        </w:rPr>
        <w:t>——控制点地面与附近末级固定渠道设计水位的高差，一般取0.1</w:t>
      </w:r>
      <w:r>
        <w:rPr>
          <w:rFonts w:hint="eastAsia"/>
          <w:lang w:eastAsia="zh-CN"/>
        </w:rPr>
        <w:t>—</w:t>
      </w:r>
      <w:r>
        <w:rPr>
          <w:rFonts w:hint="eastAsia"/>
        </w:rPr>
        <w:t>0.2m；</w:t>
      </w:r>
    </w:p>
    <w:p w14:paraId="4BC07607">
      <w:pPr>
        <w:bidi w:val="0"/>
        <w:ind w:firstLine="897" w:firstLineChars="374"/>
        <w:rPr>
          <w:rFonts w:hint="eastAsia"/>
        </w:rPr>
      </w:pPr>
      <w:r>
        <w:rPr>
          <w:rFonts w:hint="eastAsia" w:ascii="Times New Roman" w:hAnsi="Times New Roman" w:eastAsia="仿宋_GB2312" w:cs="Times New Roman"/>
          <w:color w:val="auto"/>
          <w:szCs w:val="28"/>
          <w:highlight w:val="none"/>
        </w:rPr>
        <w:object>
          <v:shape id="_x0000_i1044" o:spt="75" type="#_x0000_t75" style="height:12.9pt;width:10.75pt;" o:ole="t" filled="f" o:preferrelative="t" stroked="f" coordsize="21600,21600">
            <v:path/>
            <v:fill on="f" opacity="0f" focussize="0,0"/>
            <v:stroke on="f" joinstyle="miter"/>
            <v:imagedata r:id="rId50" chromakey="#FFFFFF" o:title=""/>
            <o:lock v:ext="edit" aspectratio="t"/>
            <v:shadow on="t" color="#A0A0A4" offset="0pt,0pt"/>
            <w10:wrap type="none"/>
            <w10:anchorlock/>
          </v:shape>
          <o:OLEObject Type="Embed" ProgID="Equation.3" ShapeID="_x0000_i1044" DrawAspect="Content" ObjectID="_1468075745" r:id="rId49">
            <o:LockedField>false</o:LockedField>
          </o:OLEObject>
        </w:object>
      </w:r>
      <w:r>
        <w:rPr>
          <w:rFonts w:hint="eastAsia"/>
        </w:rPr>
        <w:t>——各级渠道的长度（m）；</w:t>
      </w:r>
    </w:p>
    <w:p w14:paraId="03D3FCF9">
      <w:pPr>
        <w:bidi w:val="0"/>
        <w:ind w:firstLine="897" w:firstLineChars="374"/>
        <w:rPr>
          <w:rFonts w:hint="eastAsia"/>
        </w:rPr>
      </w:pPr>
      <w:r>
        <w:rPr>
          <w:rFonts w:hint="eastAsia" w:ascii="Times New Roman" w:hAnsi="Times New Roman" w:eastAsia="仿宋_GB2312" w:cs="Times New Roman"/>
          <w:color w:val="auto"/>
          <w:szCs w:val="28"/>
          <w:highlight w:val="none"/>
        </w:rPr>
        <w:object>
          <v:shape id="_x0000_i1045" o:spt="75" type="#_x0000_t75" style="height:12.9pt;width:7.5pt;" o:ole="t" filled="f" o:preferrelative="t" stroked="f" coordsize="21600,21600">
            <v:path/>
            <v:fill on="f" opacity="0f" focussize="0,0"/>
            <v:stroke on="f" joinstyle="miter"/>
            <v:imagedata r:id="rId52" chromakey="#FFFFFF" o:title=""/>
            <o:lock v:ext="edit" aspectratio="t"/>
            <v:shadow on="t" color="#A0A0A4" offset="0pt,0pt"/>
            <w10:wrap type="none"/>
            <w10:anchorlock/>
          </v:shape>
          <o:OLEObject Type="Embed" ProgID="Equation.3" ShapeID="_x0000_i1045" DrawAspect="Content" ObjectID="_1468075746" r:id="rId51">
            <o:LockedField>false</o:LockedField>
          </o:OLEObject>
        </w:object>
      </w:r>
      <w:r>
        <w:rPr>
          <w:rFonts w:hint="eastAsia"/>
        </w:rPr>
        <w:t xml:space="preserve"> ——各级渠道的比降；</w:t>
      </w:r>
    </w:p>
    <w:p w14:paraId="14953BAE">
      <w:pPr>
        <w:bidi w:val="0"/>
        <w:ind w:firstLine="897" w:firstLineChars="374"/>
        <w:rPr>
          <w:rFonts w:hint="eastAsia"/>
        </w:rPr>
      </w:pPr>
      <w:r>
        <w:rPr>
          <w:rFonts w:hint="eastAsia" w:ascii="Times New Roman" w:hAnsi="Times New Roman" w:eastAsia="仿宋_GB2312" w:cs="Times New Roman"/>
          <w:color w:val="auto"/>
          <w:szCs w:val="28"/>
          <w:highlight w:val="none"/>
        </w:rPr>
        <w:object>
          <v:shape id="_x0000_i1046" o:spt="75" type="#_x0000_t75" style="height:12.9pt;width:11.8pt;" o:ole="t" filled="f" o:preferrelative="t" stroked="f" coordsize="21600,21600">
            <v:path/>
            <v:fill on="f" opacity="0f" focussize="0,0"/>
            <v:stroke on="f" joinstyle="miter"/>
            <v:imagedata r:id="rId54" chromakey="#FFFFFF" o:title=""/>
            <o:lock v:ext="edit" aspectratio="t"/>
            <v:shadow on="t" color="#A0A0A4" offset="0pt,0pt"/>
            <w10:wrap type="none"/>
            <w10:anchorlock/>
          </v:shape>
          <o:OLEObject Type="Embed" ProgID="Equation.3" ShapeID="_x0000_i1046" DrawAspect="Content" ObjectID="_1468075747" r:id="rId53">
            <o:LockedField>false</o:LockedField>
          </o:OLEObject>
        </w:object>
      </w:r>
      <w:r>
        <w:rPr>
          <w:rFonts w:hint="eastAsia"/>
        </w:rPr>
        <w:t>——水流通过渠系建筑物的水头损失（m）。</w:t>
      </w:r>
    </w:p>
    <w:p w14:paraId="7639D524">
      <w:pPr>
        <w:bidi w:val="0"/>
        <w:rPr>
          <w:rFonts w:hint="eastAsia"/>
        </w:rPr>
      </w:pPr>
      <w:r>
        <w:rPr>
          <w:rFonts w:hint="eastAsia"/>
        </w:rPr>
        <w:t>将有关参数代入，可计算得各级渠道进口水位。</w:t>
      </w:r>
    </w:p>
    <w:p w14:paraId="2373FF22">
      <w:pPr>
        <w:pStyle w:val="5"/>
        <w:bidi w:val="0"/>
        <w:rPr>
          <w:rFonts w:hint="eastAsia"/>
        </w:rPr>
      </w:pPr>
      <w:bookmarkStart w:id="54" w:name="_Toc6432"/>
      <w:r>
        <w:rPr>
          <w:rFonts w:hint="eastAsia"/>
          <w:lang w:val="en-US" w:eastAsia="zh-CN"/>
        </w:rPr>
        <w:t xml:space="preserve">4.2.2.5 </w:t>
      </w:r>
      <w:r>
        <w:rPr>
          <w:rFonts w:hint="eastAsia"/>
        </w:rPr>
        <w:t>渠道横断面设计</w:t>
      </w:r>
      <w:bookmarkEnd w:id="54"/>
    </w:p>
    <w:p w14:paraId="7B685649">
      <w:pPr>
        <w:bidi w:val="0"/>
        <w:rPr>
          <w:rFonts w:hint="default" w:ascii="Times New Roman" w:hAnsi="Times New Roman"/>
        </w:rPr>
      </w:pPr>
      <w:r>
        <w:rPr>
          <w:rFonts w:hint="default" w:ascii="Times New Roman" w:hAnsi="Times New Roman"/>
        </w:rPr>
        <w:t>渠道衬砌处理工程措施主要有：砖砌渠道、现浇砼、预制构件等。</w:t>
      </w:r>
    </w:p>
    <w:p w14:paraId="43F40B8E">
      <w:pPr>
        <w:bidi w:val="0"/>
        <w:jc w:val="center"/>
        <w:rPr>
          <w:rFonts w:hint="default" w:ascii="Times New Roman" w:hAnsi="Times New Roman"/>
        </w:rPr>
      </w:pPr>
      <w:r>
        <w:rPr>
          <w:rFonts w:hint="eastAsia" w:ascii="Times New Roman" w:hAnsi="Times New Roman"/>
          <w:lang w:val="en-US" w:eastAsia="zh-CN"/>
        </w:rPr>
        <w:t>表4</w:t>
      </w:r>
      <w:r>
        <w:rPr>
          <w:rFonts w:hint="eastAsia"/>
          <w:lang w:val="en-US" w:eastAsia="zh-CN"/>
        </w:rPr>
        <w:t>.2</w:t>
      </w:r>
      <w:r>
        <w:rPr>
          <w:rFonts w:hint="eastAsia" w:ascii="Times New Roman" w:hAnsi="Times New Roman"/>
          <w:lang w:val="en-US" w:eastAsia="zh-CN"/>
        </w:rPr>
        <w:t>-</w:t>
      </w:r>
      <w:r>
        <w:rPr>
          <w:rFonts w:hint="eastAsia"/>
          <w:lang w:val="en-US" w:eastAsia="zh-CN"/>
        </w:rPr>
        <w:t xml:space="preserve">1 </w:t>
      </w:r>
      <w:r>
        <w:rPr>
          <w:rFonts w:hint="default" w:ascii="Times New Roman" w:hAnsi="Times New Roman"/>
          <w:lang w:val="en-US" w:eastAsia="zh-CN"/>
        </w:rPr>
        <w:t>渠道横断面方案经济技术比较表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78"/>
        <w:gridCol w:w="2176"/>
        <w:gridCol w:w="2282"/>
        <w:gridCol w:w="2837"/>
      </w:tblGrid>
      <w:tr w14:paraId="6590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7C255E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b/>
                <w:bCs/>
                <w:color w:val="auto"/>
                <w:sz w:val="22"/>
                <w:szCs w:val="22"/>
              </w:rPr>
            </w:pPr>
            <w:r>
              <w:rPr>
                <w:rFonts w:hint="default" w:ascii="Times New Roman" w:hAnsi="Times New Roman" w:eastAsia="仿宋_GB2312" w:cs="Times New Roman"/>
                <w:b/>
                <w:bCs/>
                <w:color w:val="auto"/>
                <w:sz w:val="22"/>
                <w:szCs w:val="22"/>
              </w:rPr>
              <w:t>比选项目</w:t>
            </w:r>
          </w:p>
        </w:tc>
        <w:tc>
          <w:tcPr>
            <w:tcW w:w="2176" w:type="dxa"/>
            <w:noWrap w:val="0"/>
            <w:vAlign w:val="center"/>
          </w:tcPr>
          <w:p w14:paraId="164B0E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b/>
                <w:bCs/>
                <w:color w:val="auto"/>
                <w:sz w:val="22"/>
                <w:szCs w:val="22"/>
              </w:rPr>
            </w:pPr>
            <w:r>
              <w:rPr>
                <w:rFonts w:hint="default" w:ascii="Times New Roman" w:hAnsi="Times New Roman" w:eastAsia="仿宋_GB2312" w:cs="Times New Roman"/>
                <w:b/>
                <w:bCs/>
                <w:color w:val="auto"/>
                <w:sz w:val="22"/>
                <w:szCs w:val="22"/>
              </w:rPr>
              <w:t>方案一</w:t>
            </w:r>
            <w:r>
              <w:rPr>
                <w:rFonts w:hint="eastAsia" w:ascii="Times New Roman" w:hAnsi="Times New Roman" w:eastAsia="仿宋_GB2312" w:cs="Times New Roman"/>
                <w:b/>
                <w:bCs/>
                <w:color w:val="auto"/>
                <w:sz w:val="22"/>
                <w:szCs w:val="22"/>
                <w:lang w:val="en-US" w:eastAsia="zh-CN"/>
              </w:rPr>
              <w:t>水泥</w:t>
            </w:r>
            <w:r>
              <w:rPr>
                <w:rFonts w:hint="default" w:ascii="Times New Roman" w:hAnsi="Times New Roman" w:eastAsia="仿宋_GB2312" w:cs="Times New Roman"/>
                <w:b/>
                <w:bCs/>
                <w:color w:val="auto"/>
                <w:sz w:val="22"/>
                <w:szCs w:val="22"/>
              </w:rPr>
              <w:t>砖砌</w:t>
            </w:r>
          </w:p>
        </w:tc>
        <w:tc>
          <w:tcPr>
            <w:tcW w:w="2282" w:type="dxa"/>
            <w:noWrap w:val="0"/>
            <w:vAlign w:val="center"/>
          </w:tcPr>
          <w:p w14:paraId="74A305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b/>
                <w:bCs/>
                <w:color w:val="auto"/>
                <w:sz w:val="22"/>
                <w:szCs w:val="22"/>
              </w:rPr>
            </w:pPr>
            <w:r>
              <w:rPr>
                <w:rFonts w:hint="default" w:ascii="Times New Roman" w:hAnsi="Times New Roman" w:eastAsia="仿宋_GB2312" w:cs="Times New Roman"/>
                <w:b/>
                <w:bCs/>
                <w:color w:val="auto"/>
                <w:sz w:val="22"/>
                <w:szCs w:val="22"/>
              </w:rPr>
              <w:t>方案二现浇C20砼</w:t>
            </w:r>
          </w:p>
        </w:tc>
        <w:tc>
          <w:tcPr>
            <w:tcW w:w="2837" w:type="dxa"/>
            <w:noWrap w:val="0"/>
            <w:vAlign w:val="center"/>
          </w:tcPr>
          <w:p w14:paraId="5E9A439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b/>
                <w:bCs/>
                <w:color w:val="auto"/>
                <w:sz w:val="22"/>
                <w:szCs w:val="22"/>
              </w:rPr>
            </w:pPr>
            <w:r>
              <w:rPr>
                <w:rFonts w:hint="default" w:ascii="Times New Roman" w:hAnsi="Times New Roman" w:eastAsia="仿宋_GB2312" w:cs="Times New Roman"/>
                <w:b/>
                <w:bCs/>
                <w:color w:val="auto"/>
                <w:sz w:val="22"/>
                <w:szCs w:val="22"/>
              </w:rPr>
              <w:t>方案三C20砼预制构件</w:t>
            </w:r>
          </w:p>
        </w:tc>
      </w:tr>
      <w:tr w14:paraId="5FF28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4BC4EA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经济参数</w:t>
            </w:r>
          </w:p>
        </w:tc>
        <w:tc>
          <w:tcPr>
            <w:tcW w:w="2176" w:type="dxa"/>
            <w:noWrap w:val="0"/>
            <w:vAlign w:val="center"/>
          </w:tcPr>
          <w:p w14:paraId="7A40F9B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造价适中，0.</w:t>
            </w:r>
            <w:r>
              <w:rPr>
                <w:rFonts w:hint="eastAsia" w:ascii="Times New Roman" w:hAnsi="Times New Roman" w:eastAsia="仿宋_GB2312" w:cs="Times New Roman"/>
                <w:color w:val="auto"/>
                <w:sz w:val="22"/>
                <w:szCs w:val="22"/>
                <w:lang w:val="en-US" w:eastAsia="zh-CN"/>
              </w:rPr>
              <w:t>4</w:t>
            </w:r>
            <w:r>
              <w:rPr>
                <w:rFonts w:hint="default" w:ascii="Times New Roman" w:hAnsi="Times New Roman" w:eastAsia="仿宋_GB2312" w:cs="Times New Roman"/>
                <w:color w:val="auto"/>
                <w:sz w:val="22"/>
                <w:szCs w:val="22"/>
              </w:rPr>
              <w:t>*0.</w:t>
            </w:r>
            <w:r>
              <w:rPr>
                <w:rFonts w:hint="eastAsia" w:ascii="Times New Roman" w:hAnsi="Times New Roman" w:eastAsia="仿宋_GB2312" w:cs="Times New Roman"/>
                <w:color w:val="auto"/>
                <w:sz w:val="22"/>
                <w:szCs w:val="22"/>
                <w:lang w:val="en-US" w:eastAsia="zh-CN"/>
              </w:rPr>
              <w:t>4</w:t>
            </w:r>
            <w:r>
              <w:rPr>
                <w:rFonts w:hint="eastAsia" w:eastAsia="仿宋_GB2312" w:cs="Times New Roman"/>
                <w:color w:val="auto"/>
                <w:sz w:val="22"/>
                <w:szCs w:val="22"/>
                <w:lang w:val="en-US" w:eastAsia="zh-CN"/>
              </w:rPr>
              <w:t>m</w:t>
            </w:r>
            <w:r>
              <w:rPr>
                <w:rFonts w:hint="default" w:ascii="Times New Roman" w:hAnsi="Times New Roman" w:eastAsia="仿宋_GB2312" w:cs="Times New Roman"/>
                <w:color w:val="auto"/>
                <w:sz w:val="22"/>
                <w:szCs w:val="22"/>
              </w:rPr>
              <w:t>砖砌渠道造价一般在220元/m左右</w:t>
            </w:r>
          </w:p>
        </w:tc>
        <w:tc>
          <w:tcPr>
            <w:tcW w:w="2282" w:type="dxa"/>
            <w:noWrap w:val="0"/>
            <w:vAlign w:val="center"/>
          </w:tcPr>
          <w:p w14:paraId="566F2C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造价昂贵，0.</w:t>
            </w:r>
            <w:r>
              <w:rPr>
                <w:rFonts w:hint="eastAsia" w:ascii="Times New Roman" w:hAnsi="Times New Roman" w:eastAsia="仿宋_GB2312" w:cs="Times New Roman"/>
                <w:color w:val="auto"/>
                <w:sz w:val="22"/>
                <w:szCs w:val="22"/>
                <w:lang w:val="en-US" w:eastAsia="zh-CN"/>
              </w:rPr>
              <w:t>4</w:t>
            </w:r>
            <w:r>
              <w:rPr>
                <w:rFonts w:hint="default" w:ascii="Times New Roman" w:hAnsi="Times New Roman" w:eastAsia="仿宋_GB2312" w:cs="Times New Roman"/>
                <w:color w:val="auto"/>
                <w:sz w:val="22"/>
                <w:szCs w:val="22"/>
              </w:rPr>
              <w:t>*0.</w:t>
            </w:r>
            <w:r>
              <w:rPr>
                <w:rFonts w:hint="eastAsia" w:ascii="Times New Roman" w:hAnsi="Times New Roman" w:eastAsia="仿宋_GB2312" w:cs="Times New Roman"/>
                <w:color w:val="auto"/>
                <w:sz w:val="22"/>
                <w:szCs w:val="22"/>
                <w:lang w:val="en-US" w:eastAsia="zh-CN"/>
              </w:rPr>
              <w:t>4</w:t>
            </w:r>
            <w:r>
              <w:rPr>
                <w:rFonts w:hint="default" w:ascii="Times New Roman" w:hAnsi="Times New Roman" w:eastAsia="仿宋_GB2312" w:cs="Times New Roman"/>
                <w:color w:val="auto"/>
                <w:sz w:val="22"/>
                <w:szCs w:val="22"/>
              </w:rPr>
              <w:t>m斗渠造价一般260元/m左右</w:t>
            </w:r>
          </w:p>
        </w:tc>
        <w:tc>
          <w:tcPr>
            <w:tcW w:w="2837" w:type="dxa"/>
            <w:noWrap w:val="0"/>
            <w:vAlign w:val="center"/>
          </w:tcPr>
          <w:p w14:paraId="24D9ED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造价便宜，T</w:t>
            </w:r>
            <w:r>
              <w:rPr>
                <w:rFonts w:hint="eastAsia" w:ascii="Times New Roman" w:hAnsi="Times New Roman" w:eastAsia="仿宋_GB2312" w:cs="Times New Roman"/>
                <w:color w:val="auto"/>
                <w:sz w:val="22"/>
                <w:szCs w:val="22"/>
                <w:lang w:val="en-US" w:eastAsia="zh-CN"/>
              </w:rPr>
              <w:t>4</w:t>
            </w:r>
            <w:r>
              <w:rPr>
                <w:rFonts w:hint="default" w:ascii="Times New Roman" w:hAnsi="Times New Roman" w:eastAsia="仿宋_GB2312" w:cs="Times New Roman"/>
                <w:color w:val="auto"/>
                <w:sz w:val="22"/>
                <w:szCs w:val="22"/>
              </w:rPr>
              <w:t>0造价一般在160元/m左右</w:t>
            </w:r>
          </w:p>
        </w:tc>
      </w:tr>
      <w:tr w14:paraId="0B1D5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1878" w:type="dxa"/>
            <w:noWrap w:val="0"/>
            <w:vAlign w:val="center"/>
          </w:tcPr>
          <w:p w14:paraId="292475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技术参数</w:t>
            </w:r>
          </w:p>
        </w:tc>
        <w:tc>
          <w:tcPr>
            <w:tcW w:w="2176" w:type="dxa"/>
            <w:noWrap w:val="0"/>
            <w:vAlign w:val="center"/>
          </w:tcPr>
          <w:p w14:paraId="764ED0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侧壁采用</w:t>
            </w:r>
            <w:r>
              <w:rPr>
                <w:rFonts w:hint="eastAsia" w:ascii="Times New Roman" w:hAnsi="Times New Roman" w:eastAsia="仿宋_GB2312" w:cs="Times New Roman"/>
                <w:color w:val="auto"/>
                <w:sz w:val="22"/>
                <w:szCs w:val="22"/>
                <w:lang w:val="en-US" w:eastAsia="zh-CN"/>
              </w:rPr>
              <w:t>水泥</w:t>
            </w:r>
            <w:r>
              <w:rPr>
                <w:rFonts w:hint="default" w:ascii="Times New Roman" w:hAnsi="Times New Roman" w:eastAsia="仿宋_GB2312" w:cs="Times New Roman"/>
                <w:color w:val="auto"/>
                <w:sz w:val="22"/>
                <w:szCs w:val="22"/>
              </w:rPr>
              <w:t>砖砌</w:t>
            </w:r>
          </w:p>
        </w:tc>
        <w:tc>
          <w:tcPr>
            <w:tcW w:w="2282" w:type="dxa"/>
            <w:noWrap w:val="0"/>
            <w:vAlign w:val="center"/>
          </w:tcPr>
          <w:p w14:paraId="49C9E8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侧壁采用现浇C20砼</w:t>
            </w:r>
          </w:p>
        </w:tc>
        <w:tc>
          <w:tcPr>
            <w:tcW w:w="2837" w:type="dxa"/>
            <w:noWrap w:val="0"/>
            <w:vAlign w:val="center"/>
          </w:tcPr>
          <w:p w14:paraId="071067F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侧壁采用C20砼预制板</w:t>
            </w:r>
          </w:p>
        </w:tc>
      </w:tr>
      <w:tr w14:paraId="55A8B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21CA5E0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优点</w:t>
            </w:r>
          </w:p>
        </w:tc>
        <w:tc>
          <w:tcPr>
            <w:tcW w:w="2176" w:type="dxa"/>
            <w:noWrap w:val="0"/>
            <w:vAlign w:val="center"/>
          </w:tcPr>
          <w:p w14:paraId="03968B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lang w:val="en-US" w:eastAsia="zh-CN"/>
              </w:rPr>
            </w:pPr>
            <w:r>
              <w:rPr>
                <w:rFonts w:hint="default" w:ascii="Times New Roman" w:hAnsi="Times New Roman" w:eastAsia="仿宋_GB2312" w:cs="Times New Roman"/>
                <w:color w:val="auto"/>
                <w:sz w:val="22"/>
                <w:szCs w:val="22"/>
              </w:rPr>
              <w:t>抗冲刷能力强、整体性好、不容易破坏</w:t>
            </w:r>
            <w:r>
              <w:rPr>
                <w:rFonts w:hint="eastAsia" w:ascii="Times New Roman" w:hAnsi="Times New Roman" w:eastAsia="仿宋_GB2312" w:cs="Times New Roman"/>
                <w:color w:val="auto"/>
                <w:sz w:val="22"/>
                <w:szCs w:val="22"/>
                <w:lang w:eastAsia="zh-CN"/>
              </w:rPr>
              <w:t>，</w:t>
            </w:r>
            <w:r>
              <w:rPr>
                <w:rFonts w:hint="eastAsia" w:ascii="Times New Roman" w:hAnsi="Times New Roman" w:eastAsia="仿宋_GB2312" w:cs="Times New Roman"/>
                <w:color w:val="auto"/>
                <w:sz w:val="22"/>
                <w:szCs w:val="22"/>
                <w:lang w:val="en-US" w:eastAsia="zh-CN"/>
              </w:rPr>
              <w:t>施工工艺</w:t>
            </w:r>
            <w:r>
              <w:rPr>
                <w:rFonts w:hint="eastAsia" w:eastAsia="仿宋_GB2312" w:cs="Times New Roman"/>
                <w:color w:val="auto"/>
                <w:sz w:val="22"/>
                <w:szCs w:val="22"/>
                <w:lang w:val="en-US" w:eastAsia="zh-CN"/>
              </w:rPr>
              <w:t>较</w:t>
            </w:r>
            <w:r>
              <w:rPr>
                <w:rFonts w:hint="eastAsia" w:ascii="Times New Roman" w:hAnsi="Times New Roman" w:eastAsia="仿宋_GB2312" w:cs="Times New Roman"/>
                <w:color w:val="auto"/>
                <w:sz w:val="22"/>
                <w:szCs w:val="22"/>
                <w:lang w:val="en-US" w:eastAsia="zh-CN"/>
              </w:rPr>
              <w:t>简单，施工简单进度快</w:t>
            </w:r>
          </w:p>
        </w:tc>
        <w:tc>
          <w:tcPr>
            <w:tcW w:w="2282" w:type="dxa"/>
            <w:noWrap w:val="0"/>
            <w:vAlign w:val="center"/>
          </w:tcPr>
          <w:p w14:paraId="6F0EF6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lang w:val="en-US" w:eastAsia="zh-CN"/>
              </w:rPr>
            </w:pPr>
            <w:r>
              <w:rPr>
                <w:rFonts w:hint="default" w:ascii="Times New Roman" w:hAnsi="Times New Roman" w:eastAsia="仿宋_GB2312" w:cs="Times New Roman"/>
                <w:color w:val="auto"/>
                <w:sz w:val="22"/>
                <w:szCs w:val="22"/>
              </w:rPr>
              <w:t>防渗效果好、受地下水位影响小</w:t>
            </w:r>
            <w:r>
              <w:rPr>
                <w:rFonts w:hint="eastAsia" w:ascii="Times New Roman" w:hAnsi="Times New Roman" w:eastAsia="仿宋_GB2312" w:cs="Times New Roman"/>
                <w:color w:val="auto"/>
                <w:sz w:val="22"/>
                <w:szCs w:val="22"/>
                <w:lang w:eastAsia="zh-CN"/>
              </w:rPr>
              <w:t>，</w:t>
            </w:r>
            <w:r>
              <w:rPr>
                <w:rFonts w:hint="eastAsia" w:ascii="Times New Roman" w:hAnsi="Times New Roman" w:eastAsia="仿宋_GB2312" w:cs="Times New Roman"/>
                <w:color w:val="auto"/>
                <w:sz w:val="22"/>
                <w:szCs w:val="22"/>
                <w:lang w:val="en-US" w:eastAsia="zh-CN"/>
              </w:rPr>
              <w:t>老百姓认识度高</w:t>
            </w:r>
          </w:p>
        </w:tc>
        <w:tc>
          <w:tcPr>
            <w:tcW w:w="2837" w:type="dxa"/>
            <w:noWrap w:val="0"/>
            <w:vAlign w:val="center"/>
          </w:tcPr>
          <w:p w14:paraId="787DC8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施工进度较快、造价比较低但易破损</w:t>
            </w:r>
          </w:p>
        </w:tc>
      </w:tr>
      <w:tr w14:paraId="7B077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atLeast"/>
          <w:jc w:val="center"/>
        </w:trPr>
        <w:tc>
          <w:tcPr>
            <w:tcW w:w="1878" w:type="dxa"/>
            <w:noWrap w:val="0"/>
            <w:vAlign w:val="center"/>
          </w:tcPr>
          <w:p w14:paraId="481F73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仿宋_GB2312" w:cs="Times New Roman"/>
                <w:color w:val="auto"/>
                <w:sz w:val="22"/>
                <w:szCs w:val="22"/>
                <w:lang w:val="en-US" w:eastAsia="zh-CN"/>
              </w:rPr>
            </w:pPr>
            <w:r>
              <w:rPr>
                <w:rFonts w:hint="eastAsia" w:ascii="Times New Roman" w:hAnsi="Times New Roman" w:eastAsia="仿宋_GB2312" w:cs="Times New Roman"/>
                <w:color w:val="auto"/>
                <w:sz w:val="22"/>
                <w:szCs w:val="22"/>
                <w:lang w:val="en-US" w:eastAsia="zh-CN"/>
              </w:rPr>
              <w:t>缺点</w:t>
            </w:r>
          </w:p>
        </w:tc>
        <w:tc>
          <w:tcPr>
            <w:tcW w:w="2176" w:type="dxa"/>
            <w:noWrap w:val="0"/>
            <w:vAlign w:val="center"/>
          </w:tcPr>
          <w:p w14:paraId="329C63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lang w:val="en-US" w:eastAsia="zh-CN"/>
              </w:rPr>
            </w:pPr>
            <w:r>
              <w:rPr>
                <w:rFonts w:hint="eastAsia" w:ascii="Times New Roman" w:hAnsi="Times New Roman" w:eastAsia="仿宋_GB2312" w:cs="Times New Roman"/>
                <w:color w:val="auto"/>
                <w:sz w:val="22"/>
                <w:szCs w:val="22"/>
                <w:lang w:val="en-US" w:eastAsia="zh-CN"/>
              </w:rPr>
              <w:t>防渗一般，靠路一侧容易倒塌，使用年限低于现浇砼</w:t>
            </w:r>
          </w:p>
        </w:tc>
        <w:tc>
          <w:tcPr>
            <w:tcW w:w="2282" w:type="dxa"/>
            <w:noWrap w:val="0"/>
            <w:vAlign w:val="center"/>
          </w:tcPr>
          <w:p w14:paraId="08BFEF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eastAsia" w:ascii="Times New Roman" w:hAnsi="Times New Roman" w:eastAsia="仿宋_GB2312" w:cs="Times New Roman"/>
                <w:color w:val="auto"/>
                <w:sz w:val="22"/>
                <w:szCs w:val="22"/>
                <w:lang w:val="en-US" w:eastAsia="zh-CN"/>
              </w:rPr>
              <w:t>施工工艺高，施工时间长，</w:t>
            </w:r>
          </w:p>
        </w:tc>
        <w:tc>
          <w:tcPr>
            <w:tcW w:w="2837" w:type="dxa"/>
            <w:noWrap w:val="0"/>
            <w:vAlign w:val="center"/>
          </w:tcPr>
          <w:p w14:paraId="68876B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lang w:val="en-US" w:eastAsia="zh-CN"/>
              </w:rPr>
            </w:pPr>
            <w:r>
              <w:rPr>
                <w:rFonts w:hint="eastAsia" w:ascii="Times New Roman" w:hAnsi="Times New Roman" w:eastAsia="仿宋_GB2312" w:cs="Times New Roman"/>
                <w:color w:val="auto"/>
                <w:sz w:val="22"/>
                <w:szCs w:val="22"/>
                <w:lang w:val="en-US" w:eastAsia="zh-CN"/>
              </w:rPr>
              <w:t>防渗差，使用年限低于砖砌和现浇</w:t>
            </w:r>
          </w:p>
        </w:tc>
      </w:tr>
      <w:tr w14:paraId="0FD5F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878" w:type="dxa"/>
            <w:noWrap w:val="0"/>
            <w:vAlign w:val="center"/>
          </w:tcPr>
          <w:p w14:paraId="61F2FE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占地情况</w:t>
            </w:r>
          </w:p>
        </w:tc>
        <w:tc>
          <w:tcPr>
            <w:tcW w:w="2176" w:type="dxa"/>
            <w:noWrap w:val="0"/>
            <w:vAlign w:val="center"/>
          </w:tcPr>
          <w:p w14:paraId="17F415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占地面积增加</w:t>
            </w:r>
          </w:p>
        </w:tc>
        <w:tc>
          <w:tcPr>
            <w:tcW w:w="2282" w:type="dxa"/>
            <w:noWrap w:val="0"/>
            <w:vAlign w:val="center"/>
          </w:tcPr>
          <w:p w14:paraId="0F46CD5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占地面积基本相同</w:t>
            </w:r>
          </w:p>
        </w:tc>
        <w:tc>
          <w:tcPr>
            <w:tcW w:w="2837" w:type="dxa"/>
            <w:noWrap w:val="0"/>
            <w:vAlign w:val="center"/>
          </w:tcPr>
          <w:p w14:paraId="5B97BF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占地面积基本相同</w:t>
            </w:r>
          </w:p>
        </w:tc>
      </w:tr>
      <w:tr w14:paraId="2778A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5468A2D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材料以及产地</w:t>
            </w:r>
          </w:p>
        </w:tc>
        <w:tc>
          <w:tcPr>
            <w:tcW w:w="2176" w:type="dxa"/>
            <w:noWrap w:val="0"/>
            <w:vAlign w:val="center"/>
          </w:tcPr>
          <w:p w14:paraId="5DACBE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eastAsia" w:eastAsia="仿宋_GB2312" w:cs="Times New Roman"/>
                <w:color w:val="auto"/>
                <w:sz w:val="22"/>
                <w:szCs w:val="22"/>
                <w:lang w:val="en-US" w:eastAsia="zh-CN"/>
              </w:rPr>
              <w:t>水泥砖</w:t>
            </w:r>
            <w:r>
              <w:rPr>
                <w:rFonts w:hint="default" w:ascii="Times New Roman" w:hAnsi="Times New Roman" w:eastAsia="仿宋_GB2312" w:cs="Times New Roman"/>
                <w:color w:val="auto"/>
                <w:sz w:val="22"/>
                <w:szCs w:val="22"/>
              </w:rPr>
              <w:t>、当地</w:t>
            </w:r>
          </w:p>
        </w:tc>
        <w:tc>
          <w:tcPr>
            <w:tcW w:w="2282" w:type="dxa"/>
            <w:noWrap w:val="0"/>
            <w:vAlign w:val="center"/>
          </w:tcPr>
          <w:p w14:paraId="64BC62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eastAsia" w:eastAsia="仿宋_GB2312" w:cs="Times New Roman"/>
                <w:color w:val="auto"/>
                <w:sz w:val="22"/>
                <w:szCs w:val="22"/>
                <w:lang w:val="en-US" w:eastAsia="zh-CN"/>
              </w:rPr>
              <w:t>水泥、</w:t>
            </w:r>
            <w:r>
              <w:rPr>
                <w:rFonts w:hint="default" w:ascii="Times New Roman" w:hAnsi="Times New Roman" w:eastAsia="仿宋_GB2312" w:cs="Times New Roman"/>
                <w:color w:val="auto"/>
                <w:sz w:val="22"/>
                <w:szCs w:val="22"/>
              </w:rPr>
              <w:t>砂、石，当地</w:t>
            </w:r>
          </w:p>
        </w:tc>
        <w:tc>
          <w:tcPr>
            <w:tcW w:w="2837" w:type="dxa"/>
            <w:noWrap w:val="0"/>
            <w:vAlign w:val="center"/>
          </w:tcPr>
          <w:p w14:paraId="26B9EA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砂、石，当地</w:t>
            </w:r>
          </w:p>
        </w:tc>
      </w:tr>
      <w:tr w14:paraId="3944E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484A61A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时间进度比较</w:t>
            </w:r>
          </w:p>
        </w:tc>
        <w:tc>
          <w:tcPr>
            <w:tcW w:w="2176" w:type="dxa"/>
            <w:noWrap w:val="0"/>
            <w:vAlign w:val="center"/>
          </w:tcPr>
          <w:p w14:paraId="7242A2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仿宋_GB2312" w:cs="Times New Roman"/>
                <w:color w:val="auto"/>
                <w:sz w:val="22"/>
                <w:szCs w:val="22"/>
                <w:lang w:eastAsia="zh-CN"/>
              </w:rPr>
            </w:pPr>
            <w:r>
              <w:rPr>
                <w:rFonts w:hint="default" w:ascii="Times New Roman" w:hAnsi="Times New Roman" w:eastAsia="仿宋_GB2312" w:cs="Times New Roman"/>
                <w:color w:val="auto"/>
                <w:sz w:val="22"/>
                <w:szCs w:val="22"/>
              </w:rPr>
              <w:t>进度较</w:t>
            </w:r>
            <w:r>
              <w:rPr>
                <w:rFonts w:hint="eastAsia" w:ascii="Times New Roman" w:hAnsi="Times New Roman" w:eastAsia="仿宋_GB2312" w:cs="Times New Roman"/>
                <w:color w:val="auto"/>
                <w:sz w:val="22"/>
                <w:szCs w:val="22"/>
                <w:lang w:val="en-US" w:eastAsia="zh-CN"/>
              </w:rPr>
              <w:t>快</w:t>
            </w:r>
          </w:p>
        </w:tc>
        <w:tc>
          <w:tcPr>
            <w:tcW w:w="2282" w:type="dxa"/>
            <w:noWrap w:val="0"/>
            <w:vAlign w:val="center"/>
          </w:tcPr>
          <w:p w14:paraId="5A1B70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进度慢</w:t>
            </w:r>
          </w:p>
        </w:tc>
        <w:tc>
          <w:tcPr>
            <w:tcW w:w="2837" w:type="dxa"/>
            <w:noWrap w:val="0"/>
            <w:vAlign w:val="center"/>
          </w:tcPr>
          <w:p w14:paraId="39F2FFA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进度快</w:t>
            </w:r>
          </w:p>
        </w:tc>
      </w:tr>
      <w:tr w14:paraId="0A1C9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78" w:type="dxa"/>
            <w:noWrap w:val="0"/>
            <w:vAlign w:val="center"/>
          </w:tcPr>
          <w:p w14:paraId="31E018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方案选择</w:t>
            </w:r>
          </w:p>
        </w:tc>
        <w:tc>
          <w:tcPr>
            <w:tcW w:w="2176" w:type="dxa"/>
            <w:noWrap w:val="0"/>
            <w:vAlign w:val="center"/>
          </w:tcPr>
          <w:p w14:paraId="6D1F44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p>
        </w:tc>
        <w:tc>
          <w:tcPr>
            <w:tcW w:w="2282" w:type="dxa"/>
            <w:noWrap w:val="0"/>
            <w:vAlign w:val="center"/>
          </w:tcPr>
          <w:p w14:paraId="3DAB56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r>
              <w:rPr>
                <w:rFonts w:hint="default" w:ascii="Times New Roman" w:hAnsi="Times New Roman" w:eastAsia="仿宋_GB2312" w:cs="Times New Roman"/>
                <w:color w:val="auto"/>
                <w:sz w:val="22"/>
                <w:szCs w:val="22"/>
              </w:rPr>
              <w:t>√</w:t>
            </w:r>
          </w:p>
        </w:tc>
        <w:tc>
          <w:tcPr>
            <w:tcW w:w="2837" w:type="dxa"/>
            <w:noWrap w:val="0"/>
            <w:vAlign w:val="center"/>
          </w:tcPr>
          <w:p w14:paraId="6B9FC1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仿宋_GB2312" w:cs="Times New Roman"/>
                <w:color w:val="auto"/>
                <w:sz w:val="22"/>
                <w:szCs w:val="22"/>
              </w:rPr>
            </w:pPr>
          </w:p>
        </w:tc>
      </w:tr>
    </w:tbl>
    <w:p w14:paraId="33C371A8">
      <w:pPr>
        <w:bidi w:val="0"/>
        <w:rPr>
          <w:rFonts w:hint="eastAsia" w:ascii="Times New Roman" w:hAnsi="Times New Roman" w:eastAsia="宋体"/>
          <w:lang w:eastAsia="zh-CN"/>
        </w:rPr>
      </w:pPr>
      <w:r>
        <w:rPr>
          <w:rFonts w:hint="eastAsia" w:ascii="Times New Roman" w:hAnsi="Times New Roman" w:eastAsia="宋体"/>
        </w:rPr>
        <w:t>根据项目区当地情况</w:t>
      </w:r>
      <w:r>
        <w:rPr>
          <w:rFonts w:hint="eastAsia" w:ascii="Times New Roman" w:hAnsi="Times New Roman" w:eastAsia="宋体"/>
          <w:lang w:val="en-US" w:eastAsia="zh-CN"/>
        </w:rPr>
        <w:t>和老百姓意愿同时</w:t>
      </w:r>
      <w:r>
        <w:rPr>
          <w:rFonts w:hint="eastAsia" w:ascii="Times New Roman" w:hAnsi="Times New Roman" w:eastAsia="宋体"/>
        </w:rPr>
        <w:t>为保证施工质量</w:t>
      </w:r>
      <w:r>
        <w:rPr>
          <w:rFonts w:hint="eastAsia" w:ascii="Times New Roman" w:hAnsi="Times New Roman" w:eastAsia="宋体"/>
          <w:lang w:val="en-US" w:eastAsia="zh-CN"/>
        </w:rPr>
        <w:t>、施工速度</w:t>
      </w:r>
      <w:r>
        <w:rPr>
          <w:rFonts w:hint="eastAsia" w:ascii="Times New Roman" w:hAnsi="Times New Roman" w:eastAsia="宋体"/>
        </w:rPr>
        <w:t>和水资源的节约，本项目渠道形式主要采用</w:t>
      </w:r>
      <w:r>
        <w:rPr>
          <w:rFonts w:hint="eastAsia"/>
          <w:lang w:val="en-US" w:eastAsia="zh-CN"/>
        </w:rPr>
        <w:t>现浇C20砼</w:t>
      </w:r>
      <w:r>
        <w:rPr>
          <w:rFonts w:hint="eastAsia" w:ascii="Times New Roman" w:hAnsi="Times New Roman" w:eastAsia="宋体"/>
          <w:lang w:val="en-US" w:eastAsia="zh-CN"/>
        </w:rPr>
        <w:t>。</w:t>
      </w:r>
    </w:p>
    <w:p w14:paraId="0E4F130F">
      <w:pPr>
        <w:bidi w:val="0"/>
        <w:rPr>
          <w:rFonts w:hint="eastAsia"/>
          <w:highlight w:val="none"/>
        </w:rPr>
      </w:pPr>
      <w:r>
        <w:rPr>
          <w:rFonts w:hint="eastAsia"/>
          <w:highlight w:val="none"/>
        </w:rPr>
        <w:t>渠道设计流量确定后，根据设计流量计算渠道的横断面尺寸。渠道横断面设计主要是按照设计流量通过水力计算，确定渠道的横断面尺寸。考虑项目区情况并结合当地习惯，综合考虑灌区现状渠道断面情</w:t>
      </w:r>
      <w:r>
        <w:rPr>
          <w:rFonts w:hint="eastAsia"/>
          <w:highlight w:val="none"/>
          <w:lang w:val="en-US" w:eastAsia="zh-CN"/>
        </w:rPr>
        <w:t>况</w:t>
      </w:r>
      <w:r>
        <w:rPr>
          <w:rFonts w:hint="eastAsia"/>
          <w:highlight w:val="none"/>
        </w:rPr>
        <w:t>本次设计拟对农渠</w:t>
      </w:r>
      <w:r>
        <w:rPr>
          <w:rFonts w:hint="eastAsia"/>
          <w:highlight w:val="none"/>
          <w:lang w:val="en-US" w:eastAsia="zh-CN"/>
        </w:rPr>
        <w:t>采用现浇C20砼衬砌，</w:t>
      </w:r>
      <w:r>
        <w:rPr>
          <w:rFonts w:hint="eastAsia"/>
          <w:highlight w:val="none"/>
        </w:rPr>
        <w:t>对于个别渠道采用</w:t>
      </w:r>
      <w:r>
        <w:rPr>
          <w:rFonts w:hint="eastAsia"/>
          <w:highlight w:val="none"/>
          <w:lang w:val="en-US" w:eastAsia="zh-CN"/>
        </w:rPr>
        <w:t>土质农渠</w:t>
      </w:r>
      <w:r>
        <w:rPr>
          <w:rFonts w:hint="eastAsia"/>
          <w:highlight w:val="none"/>
        </w:rPr>
        <w:t>。</w:t>
      </w:r>
    </w:p>
    <w:p w14:paraId="25E6831F">
      <w:pPr>
        <w:bidi w:val="0"/>
        <w:rPr>
          <w:rFonts w:hint="default"/>
          <w:highlight w:val="none"/>
          <w:lang w:val="en-US" w:eastAsia="zh-CN"/>
        </w:rPr>
      </w:pPr>
      <w:r>
        <w:rPr>
          <w:rFonts w:hint="eastAsia"/>
          <w:highlight w:val="none"/>
          <w:lang w:val="en-US" w:eastAsia="zh-CN"/>
        </w:rPr>
        <w:t>本次设计C20现浇砼渠道，渠道尺寸分为0.4*0.4m、0.6*0.6m、0.8*0.8m。</w:t>
      </w:r>
      <w:r>
        <w:rPr>
          <w:rFonts w:hint="default"/>
          <w:highlight w:val="none"/>
          <w:lang w:val="en-US" w:eastAsia="zh-CN"/>
        </w:rPr>
        <w:t>渠道每隔10m设置一条伸缩缝，缝宽20mm</w:t>
      </w:r>
      <w:r>
        <w:rPr>
          <w:rFonts w:hint="eastAsia"/>
          <w:highlight w:val="none"/>
          <w:lang w:val="en-US" w:eastAsia="zh-CN"/>
        </w:rPr>
        <w:t>，</w:t>
      </w:r>
      <w:r>
        <w:rPr>
          <w:rFonts w:hint="default"/>
          <w:highlight w:val="none"/>
          <w:lang w:val="en-US" w:eastAsia="zh-CN"/>
        </w:rPr>
        <w:t>采用沥青杉板填缝</w:t>
      </w:r>
      <w:r>
        <w:rPr>
          <w:rFonts w:hint="eastAsia"/>
          <w:highlight w:val="none"/>
          <w:lang w:val="en-US" w:eastAsia="zh-CN"/>
        </w:rPr>
        <w:t>。宽0.6m以上渠道拉杆每5m设置一节拉杆，拉杆砼标号为C25，采用与渠道一体现浇方式，钢筋延伸至渠道边墙，保护层厚2cm。渠道底板为C20砼底板，厚度0.1m，宽0.6m及以下渠道底部碎石垫层0.05m，0.8m宽渠道碎石垫层0.08m。</w:t>
      </w:r>
    </w:p>
    <w:p w14:paraId="36276214">
      <w:pPr>
        <w:bidi w:val="0"/>
        <w:rPr>
          <w:rFonts w:hint="eastAsia"/>
        </w:rPr>
      </w:pPr>
      <w:r>
        <w:rPr>
          <w:rFonts w:hint="eastAsia"/>
        </w:rPr>
        <w:t>根据以往工程经验，结合施工要求，本次规划灌水渠道横断面共有</w:t>
      </w:r>
      <w:r>
        <w:rPr>
          <w:rFonts w:hint="eastAsia"/>
          <w:lang w:val="en-US" w:eastAsia="zh-CN"/>
        </w:rPr>
        <w:t>3</w:t>
      </w:r>
      <w:r>
        <w:rPr>
          <w:rFonts w:hint="eastAsia"/>
        </w:rPr>
        <w:t>种，特性参数详见下表。</w:t>
      </w:r>
    </w:p>
    <w:p w14:paraId="6E65D8D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default"/>
        </w:rPr>
        <w:t>表</w:t>
      </w:r>
      <w:r>
        <w:rPr>
          <w:rFonts w:hint="eastAsia"/>
          <w:lang w:val="en-US" w:eastAsia="zh-CN"/>
        </w:rPr>
        <w:t>4.2-2</w:t>
      </w:r>
      <w:r>
        <w:rPr>
          <w:rFonts w:hint="default"/>
        </w:rPr>
        <w:t xml:space="preserve"> 灌水渠道特性表</w:t>
      </w:r>
    </w:p>
    <w:tbl>
      <w:tblPr>
        <w:tblStyle w:val="17"/>
        <w:tblW w:w="505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64"/>
        <w:gridCol w:w="1063"/>
        <w:gridCol w:w="1065"/>
        <w:gridCol w:w="1065"/>
        <w:gridCol w:w="1065"/>
        <w:gridCol w:w="1065"/>
        <w:gridCol w:w="1065"/>
        <w:gridCol w:w="1065"/>
      </w:tblGrid>
      <w:tr w14:paraId="393F4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jc w:val="center"/>
        </w:trPr>
        <w:tc>
          <w:tcPr>
            <w:tcW w:w="6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4B6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渠道形式(高*宽m）</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1D6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底宽b（m）</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ED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设计渠深（m）</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9FF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边墙厚</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969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超高</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C0D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过水深h（m）</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DBC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糙率</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4BE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比降</w:t>
            </w:r>
          </w:p>
        </w:tc>
      </w:tr>
      <w:tr w14:paraId="1B1F6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6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524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0.4*0.4</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5B9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698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0E3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75A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C90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0.3</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3AF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66A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1/100</w:t>
            </w:r>
          </w:p>
        </w:tc>
      </w:tr>
      <w:tr w14:paraId="00578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6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341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0.6*0.6</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162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B22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F34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275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2DE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52F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B90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1/100</w:t>
            </w:r>
          </w:p>
        </w:tc>
      </w:tr>
      <w:tr w14:paraId="62808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6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E5C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0.8*0.8</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845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w:t>
            </w:r>
          </w:p>
        </w:tc>
        <w:tc>
          <w:tcPr>
            <w:tcW w:w="6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B95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w:t>
            </w:r>
          </w:p>
        </w:tc>
        <w:tc>
          <w:tcPr>
            <w:tcW w:w="6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F5F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w:t>
            </w:r>
          </w:p>
        </w:tc>
        <w:tc>
          <w:tcPr>
            <w:tcW w:w="6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0A4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0.15</w:t>
            </w:r>
          </w:p>
        </w:tc>
        <w:tc>
          <w:tcPr>
            <w:tcW w:w="6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653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0.65</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B25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CE9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1/100</w:t>
            </w:r>
          </w:p>
        </w:tc>
      </w:tr>
    </w:tbl>
    <w:p w14:paraId="09FD38E8">
      <w:pPr>
        <w:bidi w:val="0"/>
        <w:rPr>
          <w:rFonts w:hint="eastAsia"/>
        </w:rPr>
      </w:pPr>
      <w:r>
        <w:rPr>
          <w:rFonts w:hint="eastAsia"/>
        </w:rPr>
        <w:t>拟定渠道断面和衬砌型式后，采用下列明渠均匀流公式对渠道过流能力进行复核计算，并计算相应于设计流量时的流速。</w:t>
      </w:r>
    </w:p>
    <w:p w14:paraId="23D0A09B">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47" o:spt="75" type="#_x0000_t75" style="height:15.05pt;width:72pt;" o:ole="t" filled="f" o:preferrelative="t" stroked="f" coordsize="21600,21600">
            <v:path/>
            <v:fill on="f" focussize="0,0"/>
            <v:stroke on="f" joinstyle="miter"/>
            <v:imagedata r:id="rId56" o:title=""/>
            <o:lock v:ext="edit" aspectratio="t"/>
            <w10:wrap type="none"/>
            <w10:anchorlock/>
          </v:shape>
          <o:OLEObject Type="Embed" ProgID="Equation.3" ShapeID="_x0000_i1047" DrawAspect="Content" ObjectID="_1468075748" r:id="rId55">
            <o:LockedField>false</o:LockedField>
          </o:OLEObject>
        </w:object>
      </w:r>
    </w:p>
    <w:p w14:paraId="301B40EE">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48" o:spt="75" type="#_x0000_t75" style="height:21.5pt;width:93.5pt;" o:ole="t" filled="f" o:preferrelative="t" stroked="f" coordsize="21600,21600">
            <v:path/>
            <v:fill on="f" focussize="0,0"/>
            <v:stroke on="f" joinstyle="miter"/>
            <v:imagedata r:id="rId58" o:title=""/>
            <o:lock v:ext="edit" aspectratio="t"/>
            <w10:wrap type="none"/>
            <w10:anchorlock/>
          </v:shape>
          <o:OLEObject Type="Embed" ProgID="Equation.3" ShapeID="_x0000_i1048" DrawAspect="Content" ObjectID="_1468075749" r:id="rId57">
            <o:LockedField>false</o:LockedField>
          </o:OLEObject>
        </w:object>
      </w:r>
    </w:p>
    <w:p w14:paraId="2907BA5E">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49" o:spt="75" type="#_x0000_t75" style="height:30.1pt;width:34.4pt;" o:ole="t" filled="f" o:preferrelative="t" stroked="f" coordsize="21600,21600">
            <v:path/>
            <v:fill on="f" focussize="0,0"/>
            <v:stroke on="f" joinstyle="miter"/>
            <v:imagedata r:id="rId60" o:title=""/>
            <o:lock v:ext="edit" aspectratio="t"/>
            <w10:wrap type="none"/>
            <w10:anchorlock/>
          </v:shape>
          <o:OLEObject Type="Embed" ProgID="Equation.3" ShapeID="_x0000_i1049" DrawAspect="Content" ObjectID="_1468075750" r:id="rId59">
            <o:LockedField>false</o:LockedField>
          </o:OLEObject>
        </w:object>
      </w:r>
    </w:p>
    <w:p w14:paraId="68B8AE43">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50" o:spt="75" type="#_x0000_t75" style="height:33.3pt;width:47.3pt;" o:ole="t" filled="f" o:preferrelative="t" stroked="f" coordsize="21600,21600">
            <v:path/>
            <v:fill on="f" focussize="0,0"/>
            <v:stroke on="f" joinstyle="miter"/>
            <v:imagedata r:id="rId62" o:title=""/>
            <o:lock v:ext="edit" aspectratio="t"/>
            <w10:wrap type="none"/>
            <w10:anchorlock/>
          </v:shape>
          <o:OLEObject Type="Embed" ProgID="Equation.3" ShapeID="_x0000_i1050" DrawAspect="Content" ObjectID="_1468075751" r:id="rId61">
            <o:LockedField>false</o:LockedField>
          </o:OLEObject>
        </w:object>
      </w:r>
    </w:p>
    <w:p w14:paraId="30578C44">
      <w:pPr>
        <w:autoSpaceDE w:val="0"/>
        <w:autoSpaceDN w:val="0"/>
        <w:adjustRightInd w:val="0"/>
        <w:spacing w:line="360" w:lineRule="auto"/>
        <w:ind w:firstLine="560" w:firstLineChars="200"/>
        <w:jc w:val="center"/>
        <w:rPr>
          <w:rFonts w:hint="eastAsia" w:ascii="Times New Roman" w:hAnsi="Times New Roman" w:eastAsia="仿宋_GB2312" w:cs="Times New Roman"/>
          <w:color w:val="auto"/>
          <w:sz w:val="28"/>
          <w:szCs w:val="28"/>
          <w:highlight w:val="none"/>
        </w:rPr>
      </w:pPr>
      <w:r>
        <w:rPr>
          <w:rFonts w:hint="eastAsia" w:ascii="Times New Roman" w:hAnsi="Times New Roman" w:eastAsia="仿宋_GB2312" w:cs="Times New Roman"/>
          <w:color w:val="auto"/>
          <w:sz w:val="28"/>
          <w:szCs w:val="28"/>
          <w:highlight w:val="none"/>
        </w:rPr>
        <w:object>
          <v:shape id="_x0000_i1051" o:spt="75" type="#_x0000_t75" style="height:21.5pt;width:77.35pt;" o:ole="t" filled="f" o:preferrelative="t" stroked="f" coordsize="21600,21600">
            <v:path/>
            <v:fill on="f" focussize="0,0"/>
            <v:stroke on="f" joinstyle="miter"/>
            <v:imagedata r:id="rId64" o:title=""/>
            <o:lock v:ext="edit" aspectratio="t"/>
            <w10:wrap type="none"/>
            <w10:anchorlock/>
          </v:shape>
          <o:OLEObject Type="Embed" ProgID="Equation.3" ShapeID="_x0000_i1051" DrawAspect="Content" ObjectID="_1468075752" r:id="rId63">
            <o:LockedField>false</o:LockedField>
          </o:OLEObject>
        </w:object>
      </w:r>
    </w:p>
    <w:p w14:paraId="48D4D532">
      <w:pPr>
        <w:bidi w:val="0"/>
        <w:rPr>
          <w:rFonts w:hint="eastAsia"/>
        </w:rPr>
      </w:pPr>
      <w:r>
        <w:rPr>
          <w:rFonts w:hint="eastAsia"/>
        </w:rPr>
        <w:t>式中：</w:t>
      </w:r>
    </w:p>
    <w:p w14:paraId="2C6B2F5D">
      <w:pPr>
        <w:bidi w:val="0"/>
        <w:ind w:firstLine="1315" w:firstLineChars="548"/>
        <w:rPr>
          <w:rFonts w:hint="eastAsia"/>
        </w:rPr>
      </w:pPr>
      <w:r>
        <w:rPr>
          <w:rFonts w:hint="eastAsia"/>
          <w:i/>
          <w:iCs/>
        </w:rPr>
        <w:t>A</w:t>
      </w:r>
      <w:r>
        <w:rPr>
          <w:rFonts w:hint="eastAsia"/>
        </w:rPr>
        <w:t>——过水断面面积（m²）；</w:t>
      </w:r>
    </w:p>
    <w:p w14:paraId="3FE57B0D">
      <w:pPr>
        <w:bidi w:val="0"/>
        <w:ind w:firstLine="1315" w:firstLineChars="548"/>
        <w:rPr>
          <w:rFonts w:hint="eastAsia"/>
        </w:rPr>
      </w:pPr>
      <w:r>
        <w:rPr>
          <w:rFonts w:hint="eastAsia"/>
          <w:i/>
          <w:iCs/>
        </w:rPr>
        <w:t>b</w:t>
      </w:r>
      <w:r>
        <w:rPr>
          <w:rFonts w:hint="eastAsia"/>
        </w:rPr>
        <w:t>——渠道底宽（m）；</w:t>
      </w:r>
    </w:p>
    <w:p w14:paraId="09D1C75D">
      <w:pPr>
        <w:bidi w:val="0"/>
        <w:ind w:firstLine="1315" w:firstLineChars="548"/>
        <w:rPr>
          <w:rFonts w:hint="eastAsia"/>
        </w:rPr>
      </w:pPr>
      <w:r>
        <w:rPr>
          <w:rFonts w:hint="eastAsia"/>
          <w:i/>
          <w:iCs/>
        </w:rPr>
        <w:t>m</w:t>
      </w:r>
      <w:r>
        <w:rPr>
          <w:rFonts w:hint="eastAsia"/>
        </w:rPr>
        <w:t>——渠道边坡系数，矩形为0；</w:t>
      </w:r>
    </w:p>
    <w:p w14:paraId="09E415AA">
      <w:pPr>
        <w:bidi w:val="0"/>
        <w:ind w:firstLine="1315" w:firstLineChars="548"/>
        <w:rPr>
          <w:rFonts w:hint="eastAsia"/>
        </w:rPr>
      </w:pPr>
      <w:r>
        <w:rPr>
          <w:rFonts w:hint="eastAsia"/>
          <w:i/>
          <w:iCs/>
        </w:rPr>
        <w:t>h</w:t>
      </w:r>
      <w:r>
        <w:rPr>
          <w:rFonts w:hint="eastAsia"/>
        </w:rPr>
        <w:t>——渠道内水深（m）；</w:t>
      </w:r>
    </w:p>
    <w:p w14:paraId="5A07C645">
      <w:pPr>
        <w:bidi w:val="0"/>
        <w:ind w:firstLine="1315" w:firstLineChars="548"/>
        <w:rPr>
          <w:rFonts w:hint="eastAsia"/>
        </w:rPr>
      </w:pPr>
      <w:r>
        <w:rPr>
          <w:rFonts w:hint="eastAsia"/>
          <w:i/>
          <w:iCs/>
        </w:rPr>
        <w:t>P</w:t>
      </w:r>
      <w:r>
        <w:rPr>
          <w:rFonts w:hint="eastAsia"/>
        </w:rPr>
        <w:t>——湿周；</w:t>
      </w:r>
    </w:p>
    <w:p w14:paraId="7A899854">
      <w:pPr>
        <w:bidi w:val="0"/>
        <w:ind w:firstLine="1315" w:firstLineChars="548"/>
        <w:rPr>
          <w:rFonts w:hint="eastAsia"/>
        </w:rPr>
      </w:pPr>
      <w:r>
        <w:rPr>
          <w:rFonts w:hint="eastAsia"/>
          <w:i/>
          <w:iCs/>
        </w:rPr>
        <w:t>R</w:t>
      </w:r>
      <w:r>
        <w:rPr>
          <w:rFonts w:hint="eastAsia"/>
        </w:rPr>
        <w:t>——水力半径（m）；</w:t>
      </w:r>
    </w:p>
    <w:p w14:paraId="6D2372AF">
      <w:pPr>
        <w:bidi w:val="0"/>
        <w:ind w:firstLine="1315" w:firstLineChars="548"/>
        <w:rPr>
          <w:rFonts w:hint="eastAsia"/>
        </w:rPr>
      </w:pPr>
      <w:r>
        <w:rPr>
          <w:rFonts w:hint="eastAsia"/>
          <w:i/>
          <w:iCs/>
        </w:rPr>
        <w:t>C</w:t>
      </w:r>
      <w:r>
        <w:rPr>
          <w:rFonts w:hint="eastAsia"/>
        </w:rPr>
        <w:t>——谢才系数；</w:t>
      </w:r>
    </w:p>
    <w:p w14:paraId="4C1FCF10">
      <w:pPr>
        <w:bidi w:val="0"/>
        <w:ind w:firstLine="1315" w:firstLineChars="548"/>
        <w:rPr>
          <w:rFonts w:hint="eastAsia"/>
        </w:rPr>
      </w:pPr>
      <w:r>
        <w:rPr>
          <w:rFonts w:hint="eastAsia"/>
          <w:i/>
          <w:iCs/>
        </w:rPr>
        <w:t>n</w:t>
      </w:r>
      <w:r>
        <w:rPr>
          <w:rFonts w:hint="eastAsia"/>
        </w:rPr>
        <w:t>——渠道糙率，本设计取n=0.0</w:t>
      </w:r>
      <w:r>
        <w:rPr>
          <w:rFonts w:hint="eastAsia"/>
          <w:lang w:val="en-US" w:eastAsia="zh-CN"/>
        </w:rPr>
        <w:t>17</w:t>
      </w:r>
      <w:r>
        <w:rPr>
          <w:rFonts w:hint="eastAsia"/>
        </w:rPr>
        <w:t>；</w:t>
      </w:r>
    </w:p>
    <w:p w14:paraId="533121F3">
      <w:pPr>
        <w:bidi w:val="0"/>
        <w:ind w:firstLine="1315" w:firstLineChars="548"/>
        <w:rPr>
          <w:rFonts w:hint="eastAsia"/>
        </w:rPr>
      </w:pPr>
      <w:r>
        <w:rPr>
          <w:rFonts w:hint="eastAsia"/>
          <w:i/>
          <w:iCs/>
        </w:rPr>
        <w:t>i</w:t>
      </w:r>
      <w:r>
        <w:rPr>
          <w:rFonts w:hint="eastAsia"/>
        </w:rPr>
        <w:t>——渠底比降；</w:t>
      </w:r>
    </w:p>
    <w:p w14:paraId="00CEC578">
      <w:pPr>
        <w:bidi w:val="0"/>
        <w:ind w:firstLine="1315" w:firstLineChars="548"/>
        <w:rPr>
          <w:rFonts w:hint="eastAsia"/>
        </w:rPr>
      </w:pPr>
      <w:r>
        <w:rPr>
          <w:rFonts w:hint="eastAsia" w:ascii="Times New Roman" w:hAnsi="Times New Roman" w:eastAsia="仿宋_GB2312" w:cs="Times New Roman"/>
          <w:color w:val="auto"/>
          <w:szCs w:val="28"/>
          <w:highlight w:val="none"/>
        </w:rPr>
        <w:object>
          <v:shape id="_x0000_i1052" o:spt="75" type="#_x0000_t75" style="height:19.35pt;width:26.85pt;" o:ole="t" filled="f" o:preferrelative="t" stroked="f" coordsize="21600,21600">
            <v:path/>
            <v:fill on="f" focussize="0,0"/>
            <v:stroke on="f" joinstyle="miter"/>
            <v:imagedata r:id="rId66" o:title=""/>
            <o:lock v:ext="edit" aspectratio="t"/>
            <w10:wrap type="none"/>
            <w10:anchorlock/>
          </v:shape>
          <o:OLEObject Type="Embed" ProgID="Equation.3" ShapeID="_x0000_i1052" DrawAspect="Content" ObjectID="_1468075753" r:id="rId65">
            <o:LockedField>false</o:LockedField>
          </o:OLEObject>
        </w:object>
      </w:r>
      <w:r>
        <w:rPr>
          <w:rFonts w:hint="eastAsia"/>
        </w:rPr>
        <w:t>——渠道设计流量（m³/s）。</w:t>
      </w:r>
    </w:p>
    <w:p w14:paraId="36B9BF20">
      <w:pPr>
        <w:bidi w:val="0"/>
        <w:rPr>
          <w:rFonts w:hint="default"/>
        </w:rPr>
      </w:pPr>
      <w:r>
        <w:rPr>
          <w:rFonts w:hint="eastAsia"/>
        </w:rPr>
        <w:t>渠道过流能力及流速计算成果见下表。</w:t>
      </w:r>
    </w:p>
    <w:p w14:paraId="61D4D50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default"/>
        </w:rPr>
        <w:t>表</w:t>
      </w:r>
      <w:r>
        <w:rPr>
          <w:rFonts w:hint="eastAsia"/>
          <w:lang w:val="en-US" w:eastAsia="zh-CN"/>
        </w:rPr>
        <w:t>4.2-3</w:t>
      </w:r>
      <w:r>
        <w:rPr>
          <w:rFonts w:hint="default"/>
          <w:lang w:val="en-US" w:eastAsia="zh-CN"/>
        </w:rPr>
        <w:t xml:space="preserve"> </w:t>
      </w:r>
      <w:r>
        <w:rPr>
          <w:rFonts w:hint="default"/>
        </w:rPr>
        <w:t>沟渠水力特性表</w:t>
      </w:r>
    </w:p>
    <w:tbl>
      <w:tblPr>
        <w:tblStyle w:val="17"/>
        <w:tblW w:w="1035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10"/>
        <w:gridCol w:w="972"/>
        <w:gridCol w:w="972"/>
        <w:gridCol w:w="972"/>
        <w:gridCol w:w="972"/>
        <w:gridCol w:w="850"/>
        <w:gridCol w:w="876"/>
        <w:gridCol w:w="660"/>
        <w:gridCol w:w="828"/>
        <w:gridCol w:w="771"/>
        <w:gridCol w:w="708"/>
        <w:gridCol w:w="762"/>
      </w:tblGrid>
      <w:tr w14:paraId="597EB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jc w:val="center"/>
        </w:trPr>
        <w:tc>
          <w:tcPr>
            <w:tcW w:w="101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5A9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bookmarkStart w:id="55" w:name="_Toc28556"/>
            <w:r>
              <w:rPr>
                <w:rFonts w:hint="default" w:ascii="Times New Roman" w:hAnsi="Times New Roman" w:eastAsia="宋体" w:cs="Times New Roman"/>
                <w:i w:val="0"/>
                <w:iCs w:val="0"/>
                <w:color w:val="000000"/>
                <w:kern w:val="0"/>
                <w:sz w:val="21"/>
                <w:szCs w:val="21"/>
                <w:u w:val="none"/>
                <w:lang w:val="en-US" w:eastAsia="zh-CN" w:bidi="ar"/>
              </w:rPr>
              <w:t>渠道形式(高*宽m）</w:t>
            </w:r>
          </w:p>
        </w:tc>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5FE1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渠床糙率n</w:t>
            </w:r>
          </w:p>
        </w:tc>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D474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渠道比降i</w:t>
            </w:r>
          </w:p>
        </w:tc>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19E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渠道底宽b</w:t>
            </w:r>
          </w:p>
        </w:tc>
        <w:tc>
          <w:tcPr>
            <w:tcW w:w="97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181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渠道内水深h</w:t>
            </w:r>
          </w:p>
        </w:tc>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B1E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边坡系数m</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B92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过水</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A50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湿周p</w:t>
            </w:r>
          </w:p>
        </w:tc>
        <w:tc>
          <w:tcPr>
            <w:tcW w:w="82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C0C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水力半径R</w:t>
            </w:r>
          </w:p>
        </w:tc>
        <w:tc>
          <w:tcPr>
            <w:tcW w:w="77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28B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谢才系数C</w:t>
            </w: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61E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设计流量Q</w:t>
            </w:r>
          </w:p>
        </w:tc>
        <w:tc>
          <w:tcPr>
            <w:tcW w:w="76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636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设计流速V</w:t>
            </w:r>
          </w:p>
        </w:tc>
      </w:tr>
      <w:tr w14:paraId="4B119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101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E77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43BF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EAC8B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AB5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C74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A2C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18A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面积A</w:t>
            </w: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73B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2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108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7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F8E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1A3C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C82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3B6B7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10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17A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单位</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E1D8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2EB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D98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403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5620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E82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m2</w:t>
            </w:r>
          </w:p>
        </w:tc>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13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905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72F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532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m3/s</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EA7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m/s</w:t>
            </w:r>
          </w:p>
        </w:tc>
      </w:tr>
      <w:tr w14:paraId="02D6E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10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14C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0.4*0.4m</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618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B5B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0.001</w:t>
            </w:r>
          </w:p>
        </w:tc>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A9D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3F7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0.3</w:t>
            </w:r>
            <w:r>
              <w:rPr>
                <w:rFonts w:hint="eastAsia" w:ascii="Times New Roman" w:hAnsi="Times New Roman" w:eastAsia="宋体" w:cs="Times New Roman"/>
                <w:i w:val="0"/>
                <w:iCs w:val="0"/>
                <w:color w:val="000000"/>
                <w:kern w:val="0"/>
                <w:sz w:val="21"/>
                <w:szCs w:val="21"/>
                <w:u w:val="none"/>
                <w:lang w:val="en-US" w:eastAsia="zh-CN" w:bidi="ar"/>
              </w:rPr>
              <w:t>0</w:t>
            </w:r>
          </w:p>
        </w:tc>
        <w:tc>
          <w:tcPr>
            <w:tcW w:w="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5EE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5FD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0.12</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BF1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default" w:ascii="Times New Roman" w:hAnsi="Times New Roman" w:eastAsia="宋体" w:cs="Times New Roman"/>
                <w:i w:val="0"/>
                <w:iCs w:val="0"/>
                <w:color w:val="000000"/>
                <w:kern w:val="0"/>
                <w:sz w:val="21"/>
                <w:szCs w:val="21"/>
                <w:u w:val="none"/>
                <w:lang w:val="en-US" w:eastAsia="zh-CN" w:bidi="ar"/>
              </w:rPr>
              <w:t>1</w:t>
            </w:r>
            <w:r>
              <w:rPr>
                <w:rFonts w:hint="eastAsia" w:ascii="Times New Roman" w:hAnsi="Times New Roman" w:eastAsia="宋体" w:cs="Times New Roman"/>
                <w:i w:val="0"/>
                <w:iCs w:val="0"/>
                <w:color w:val="000000"/>
                <w:kern w:val="0"/>
                <w:sz w:val="21"/>
                <w:szCs w:val="21"/>
                <w:u w:val="none"/>
                <w:lang w:val="en-US" w:eastAsia="zh-CN" w:bidi="ar"/>
              </w:rPr>
              <w:t>.0</w:t>
            </w:r>
          </w:p>
        </w:tc>
        <w:tc>
          <w:tcPr>
            <w:tcW w:w="8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4BF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0.12 </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346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41.31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89F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0.05 </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D957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0.45 </w:t>
            </w:r>
          </w:p>
        </w:tc>
      </w:tr>
      <w:tr w14:paraId="4EF88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10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21A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0.6*0.6m</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F58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AF9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0.001</w:t>
            </w:r>
          </w:p>
        </w:tc>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838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w:t>
            </w:r>
          </w:p>
        </w:tc>
        <w:tc>
          <w:tcPr>
            <w:tcW w:w="9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ACE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0.45</w:t>
            </w:r>
          </w:p>
        </w:tc>
        <w:tc>
          <w:tcPr>
            <w:tcW w:w="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F0A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B34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0.27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9C4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8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31D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0.18 </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9F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44.20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070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0.16 </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8E76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0.59 </w:t>
            </w:r>
          </w:p>
        </w:tc>
      </w:tr>
      <w:tr w14:paraId="50FE8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10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C26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0.8*0.8m</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053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0.017</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DDF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0.001</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97D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0.8</w:t>
            </w:r>
          </w:p>
        </w:tc>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1F3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0.65</w:t>
            </w:r>
          </w:p>
        </w:tc>
        <w:tc>
          <w:tcPr>
            <w:tcW w:w="8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0AF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FC5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0.52</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EC5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8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820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0.25 </w:t>
            </w:r>
          </w:p>
        </w:tc>
        <w:tc>
          <w:tcPr>
            <w:tcW w:w="7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897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46.61 </w:t>
            </w:r>
          </w:p>
        </w:tc>
        <w:tc>
          <w:tcPr>
            <w:tcW w:w="7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827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0.38 </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B241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0.73 </w:t>
            </w:r>
          </w:p>
        </w:tc>
      </w:tr>
    </w:tbl>
    <w:p w14:paraId="44ED538D">
      <w:pPr>
        <w:pStyle w:val="5"/>
        <w:bidi w:val="0"/>
        <w:rPr>
          <w:rFonts w:hint="default"/>
        </w:rPr>
      </w:pPr>
      <w:r>
        <w:rPr>
          <w:rFonts w:hint="eastAsia"/>
          <w:lang w:val="en-US" w:eastAsia="zh-CN"/>
        </w:rPr>
        <w:t xml:space="preserve">4.2.2.6 </w:t>
      </w:r>
      <w:r>
        <w:rPr>
          <w:rFonts w:hint="default"/>
        </w:rPr>
        <w:t>流速校核</w:t>
      </w:r>
      <w:bookmarkEnd w:id="55"/>
    </w:p>
    <w:p w14:paraId="35975066">
      <w:pPr>
        <w:bidi w:val="0"/>
        <w:rPr>
          <w:rFonts w:hint="default"/>
        </w:rPr>
      </w:pPr>
      <w:r>
        <w:rPr>
          <w:rFonts w:hint="default"/>
        </w:rPr>
        <w:t>用下面公式进行流速校核：</w:t>
      </w:r>
    </w:p>
    <w:p w14:paraId="33DAD35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default"/>
        </w:rPr>
        <w:t>V不淤 &lt;V设计&lt;V不冲</w:t>
      </w:r>
    </w:p>
    <w:p w14:paraId="24DD7EE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default"/>
        </w:rPr>
        <w:t>V不淤=CoQ0.5</w:t>
      </w:r>
    </w:p>
    <w:p w14:paraId="0BAAE32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rPr>
      </w:pPr>
      <w:r>
        <w:rPr>
          <w:rFonts w:hint="default"/>
        </w:rPr>
        <w:t>V不冲=KQ0.1</w:t>
      </w:r>
    </w:p>
    <w:p w14:paraId="639D37A5">
      <w:pPr>
        <w:bidi w:val="0"/>
        <w:rPr>
          <w:rFonts w:hint="default"/>
        </w:rPr>
      </w:pPr>
      <w:r>
        <w:rPr>
          <w:rFonts w:hint="default"/>
        </w:rPr>
        <w:t>式中：</w:t>
      </w:r>
    </w:p>
    <w:p w14:paraId="0B76AB2C">
      <w:pPr>
        <w:bidi w:val="0"/>
        <w:ind w:firstLine="1315" w:firstLineChars="548"/>
        <w:rPr>
          <w:rFonts w:hint="default"/>
        </w:rPr>
      </w:pPr>
      <w:r>
        <w:rPr>
          <w:rFonts w:hint="default"/>
        </w:rPr>
        <w:t>V不淤——不淤流速，m/s；</w:t>
      </w:r>
    </w:p>
    <w:p w14:paraId="52186C91">
      <w:pPr>
        <w:bidi w:val="0"/>
        <w:ind w:firstLine="1315" w:firstLineChars="548"/>
        <w:rPr>
          <w:rFonts w:hint="default"/>
        </w:rPr>
      </w:pPr>
      <w:r>
        <w:rPr>
          <w:rFonts w:hint="default"/>
        </w:rPr>
        <w:t>V不冲——不冲流速，m/s，取V不冲=5.0 m/s；</w:t>
      </w:r>
    </w:p>
    <w:p w14:paraId="428E20E5">
      <w:pPr>
        <w:bidi w:val="0"/>
        <w:ind w:firstLine="1315" w:firstLineChars="548"/>
        <w:rPr>
          <w:rFonts w:hint="default"/>
        </w:rPr>
      </w:pPr>
      <w:r>
        <w:rPr>
          <w:rFonts w:hint="default"/>
        </w:rPr>
        <w:t>V设计——设计流速，m/s；</w:t>
      </w:r>
    </w:p>
    <w:p w14:paraId="1A3C8FE3">
      <w:pPr>
        <w:bidi w:val="0"/>
        <w:ind w:firstLine="1315" w:firstLineChars="548"/>
        <w:rPr>
          <w:rFonts w:hint="default"/>
        </w:rPr>
      </w:pPr>
      <w:r>
        <w:rPr>
          <w:rFonts w:hint="default"/>
        </w:rPr>
        <w:t>Co——不淤流速系数，本设计取0.</w:t>
      </w:r>
      <w:r>
        <w:rPr>
          <w:rFonts w:hint="eastAsia"/>
          <w:lang w:val="en-US" w:eastAsia="zh-CN"/>
        </w:rPr>
        <w:t>4</w:t>
      </w:r>
      <w:r>
        <w:rPr>
          <w:rFonts w:hint="default"/>
        </w:rPr>
        <w:t>；</w:t>
      </w:r>
    </w:p>
    <w:p w14:paraId="30BD5358">
      <w:pPr>
        <w:bidi w:val="0"/>
        <w:ind w:firstLine="1315" w:firstLineChars="548"/>
        <w:rPr>
          <w:rFonts w:hint="default"/>
        </w:rPr>
      </w:pPr>
      <w:r>
        <w:rPr>
          <w:rFonts w:hint="default"/>
        </w:rPr>
        <w:t>Q——沟道设计流量，m³/s；</w:t>
      </w:r>
    </w:p>
    <w:p w14:paraId="1A0CD67E">
      <w:pPr>
        <w:bidi w:val="0"/>
        <w:ind w:firstLine="1315" w:firstLineChars="548"/>
        <w:rPr>
          <w:rFonts w:hint="default"/>
        </w:rPr>
      </w:pPr>
      <w:r>
        <w:rPr>
          <w:rFonts w:hint="default"/>
        </w:rPr>
        <w:t>K——不冲流速系数。</w:t>
      </w:r>
    </w:p>
    <w:p w14:paraId="7808F279">
      <w:pPr>
        <w:bidi w:val="0"/>
      </w:pPr>
      <w:r>
        <w:rPr>
          <w:rFonts w:hint="default"/>
        </w:rPr>
        <w:t>根据上表的计算结果，所有拟定的渠道断面过流能力均满足设计流量要求，且均在不冲流速范围内，个别渠道因灌溉面积较小，流量较小，流速较慢而小于不淤流速。对个别易淤的渠道，运行时可采用短时加大流量的方法冲淤</w:t>
      </w:r>
      <w:r>
        <w:rPr>
          <w:rFonts w:hint="eastAsia"/>
          <w:lang w:eastAsia="zh-CN"/>
        </w:rPr>
        <w:t>。</w:t>
      </w:r>
    </w:p>
    <w:p w14:paraId="641AA13E">
      <w:pPr>
        <w:pStyle w:val="4"/>
        <w:bidi w:val="0"/>
      </w:pPr>
      <w:r>
        <w:rPr>
          <w:rFonts w:hint="eastAsia"/>
          <w:lang w:val="en-US" w:eastAsia="zh-CN"/>
        </w:rPr>
        <w:t>4.2.3 渠系建筑物</w:t>
      </w:r>
      <w:r>
        <w:t>设计</w:t>
      </w:r>
    </w:p>
    <w:p w14:paraId="67706AD5">
      <w:pPr>
        <w:bidi w:val="0"/>
        <w:rPr>
          <w:rFonts w:hint="default"/>
          <w:b/>
          <w:bCs/>
          <w:sz w:val="28"/>
          <w:szCs w:val="28"/>
          <w:lang w:val="en-US" w:eastAsia="zh-CN"/>
        </w:rPr>
      </w:pPr>
      <w:r>
        <w:rPr>
          <w:rFonts w:hint="eastAsia"/>
          <w:b/>
          <w:bCs/>
          <w:sz w:val="28"/>
          <w:szCs w:val="28"/>
          <w:lang w:val="en-US" w:eastAsia="zh-CN"/>
        </w:rPr>
        <w:t>盖板涵</w:t>
      </w:r>
    </w:p>
    <w:p w14:paraId="51766B08">
      <w:pPr>
        <w:bidi w:val="0"/>
        <w:rPr>
          <w:rFonts w:hint="default"/>
        </w:rPr>
      </w:pPr>
      <w:r>
        <w:rPr>
          <w:rFonts w:hint="eastAsia"/>
          <w:lang w:val="en-US" w:eastAsia="zh-CN"/>
        </w:rPr>
        <w:t>在渠道穿路地点设置盖板涵代替涵管。本次设置4.0*1.0*0.15盖板涵1座，盖板涵</w:t>
      </w:r>
      <w:r>
        <w:rPr>
          <w:rFonts w:hint="default"/>
        </w:rPr>
        <w:t>渠道方向长</w:t>
      </w:r>
      <w:r>
        <w:rPr>
          <w:rFonts w:hint="eastAsia"/>
          <w:lang w:val="en-US" w:eastAsia="zh-CN"/>
        </w:rPr>
        <w:t>4</w:t>
      </w:r>
      <w:r>
        <w:rPr>
          <w:rFonts w:hint="default"/>
        </w:rPr>
        <w:t>m，横向</w:t>
      </w:r>
      <w:r>
        <w:rPr>
          <w:rFonts w:hint="eastAsia"/>
          <w:lang w:val="en-US" w:eastAsia="zh-CN"/>
        </w:rPr>
        <w:t>宽</w:t>
      </w:r>
      <w:r>
        <w:rPr>
          <w:rFonts w:hint="default"/>
        </w:rPr>
        <w:t>度</w:t>
      </w:r>
      <w:r>
        <w:rPr>
          <w:rFonts w:hint="eastAsia"/>
          <w:lang w:val="en-US" w:eastAsia="zh-CN"/>
        </w:rPr>
        <w:t>为1m</w:t>
      </w:r>
      <w:r>
        <w:rPr>
          <w:rFonts w:hint="default"/>
        </w:rPr>
        <w:t>。</w:t>
      </w:r>
      <w:r>
        <w:rPr>
          <w:rFonts w:hint="eastAsia"/>
          <w:lang w:val="en-US" w:eastAsia="zh-CN"/>
        </w:rPr>
        <w:t>盖板涵浇筑位置应与道路平齐，方便车辆往来。盖板涵</w:t>
      </w:r>
      <w:r>
        <w:rPr>
          <w:rFonts w:hint="default"/>
        </w:rPr>
        <w:t>两端由现浇C20</w:t>
      </w:r>
      <w:r>
        <w:rPr>
          <w:rFonts w:hint="eastAsia"/>
          <w:lang w:val="en-US" w:eastAsia="zh-CN"/>
        </w:rPr>
        <w:t>侧墙</w:t>
      </w:r>
      <w:r>
        <w:rPr>
          <w:rFonts w:hint="default"/>
        </w:rPr>
        <w:t>承接，</w:t>
      </w:r>
      <w:r>
        <w:rPr>
          <w:rFonts w:hint="eastAsia"/>
          <w:lang w:val="en-US" w:eastAsia="zh-CN"/>
        </w:rPr>
        <w:t>底部为10cm C20现浇砼底板。顶部</w:t>
      </w:r>
      <w:r>
        <w:rPr>
          <w:rFonts w:hint="default"/>
        </w:rPr>
        <w:t>放置1</w:t>
      </w:r>
      <w:r>
        <w:rPr>
          <w:rFonts w:hint="eastAsia"/>
          <w:lang w:val="en-US" w:eastAsia="zh-CN"/>
        </w:rPr>
        <w:t>5</w:t>
      </w:r>
      <w:r>
        <w:rPr>
          <w:rFonts w:hint="default"/>
        </w:rPr>
        <w:t>cm</w:t>
      </w:r>
      <w:r>
        <w:rPr>
          <w:rFonts w:hint="eastAsia"/>
          <w:lang w:val="en-US" w:eastAsia="zh-CN"/>
        </w:rPr>
        <w:t>厚</w:t>
      </w:r>
      <w:r>
        <w:rPr>
          <w:rFonts w:hint="default"/>
        </w:rPr>
        <w:t>C25钢筋砼</w:t>
      </w:r>
      <w:r>
        <w:rPr>
          <w:rFonts w:hint="eastAsia"/>
          <w:lang w:val="en-US" w:eastAsia="zh-CN"/>
        </w:rPr>
        <w:t>板</w:t>
      </w:r>
      <w:r>
        <w:rPr>
          <w:rFonts w:hint="default"/>
        </w:rPr>
        <w:t>。</w:t>
      </w:r>
    </w:p>
    <w:p w14:paraId="6AF138F4">
      <w:pPr>
        <w:bidi w:val="0"/>
        <w:rPr>
          <w:rFonts w:hint="eastAsia" w:ascii="Times New Roman" w:hAnsi="Times New Roman" w:eastAsia="宋体"/>
          <w:b/>
          <w:bCs/>
          <w:sz w:val="28"/>
          <w:szCs w:val="28"/>
          <w:lang w:val="en-US" w:eastAsia="zh-CN"/>
        </w:rPr>
      </w:pPr>
      <w:r>
        <w:rPr>
          <w:rFonts w:hint="eastAsia" w:ascii="Times New Roman" w:hAnsi="Times New Roman" w:eastAsia="宋体"/>
          <w:b/>
          <w:bCs/>
          <w:sz w:val="28"/>
          <w:szCs w:val="28"/>
          <w:lang w:val="en-US" w:eastAsia="zh-CN"/>
        </w:rPr>
        <w:t>进出水口</w:t>
      </w:r>
    </w:p>
    <w:p w14:paraId="2B7BA35E">
      <w:pPr>
        <w:bidi w:val="0"/>
        <w:rPr>
          <w:rFonts w:hint="eastAsia"/>
          <w:lang w:val="en-US" w:eastAsia="zh-CN"/>
        </w:rPr>
      </w:pPr>
      <w:r>
        <w:rPr>
          <w:rFonts w:hint="default"/>
        </w:rPr>
        <w:t>项目区内规划的</w:t>
      </w:r>
      <w:r>
        <w:rPr>
          <w:rFonts w:hint="eastAsia"/>
          <w:lang w:val="en-US" w:eastAsia="zh-CN"/>
        </w:rPr>
        <w:t>田块</w:t>
      </w:r>
      <w:r>
        <w:rPr>
          <w:rFonts w:hint="default"/>
        </w:rPr>
        <w:t>要求在每一块田布置一个进水口，进水口布置在灌溉农渠上游位置，进水口为</w:t>
      </w:r>
      <w:r>
        <w:rPr>
          <w:rFonts w:hint="eastAsia"/>
          <w:lang w:val="en-US" w:eastAsia="zh-CN"/>
        </w:rPr>
        <w:t>PVC管。其进水口采用DN110管径，出水口采用DN160管径。</w:t>
      </w:r>
      <w:r>
        <w:rPr>
          <w:rFonts w:hint="default"/>
        </w:rPr>
        <w:t>进水口底面不低于田面高程</w:t>
      </w:r>
      <w:r>
        <w:rPr>
          <w:rFonts w:hint="eastAsia"/>
          <w:lang w:eastAsia="zh-CN"/>
        </w:rPr>
        <w:t>；</w:t>
      </w:r>
      <w:r>
        <w:rPr>
          <w:rFonts w:hint="eastAsia"/>
          <w:lang w:val="en-US" w:eastAsia="zh-CN"/>
        </w:rPr>
        <w:t>同时在进水口对角位置布置出水口。</w:t>
      </w:r>
    </w:p>
    <w:p w14:paraId="1F3DD12A">
      <w:pPr>
        <w:pStyle w:val="3"/>
        <w:bidi w:val="0"/>
      </w:pPr>
      <w:bookmarkStart w:id="56" w:name="_Toc25674"/>
      <w:r>
        <w:rPr>
          <w:rFonts w:hint="eastAsia"/>
          <w:lang w:val="en-US" w:eastAsia="zh-CN"/>
        </w:rPr>
        <w:t xml:space="preserve">4.3 </w:t>
      </w:r>
      <w:r>
        <w:t>田间道路工程设计</w:t>
      </w:r>
      <w:bookmarkEnd w:id="56"/>
    </w:p>
    <w:p w14:paraId="2B9928FF">
      <w:pPr>
        <w:pStyle w:val="4"/>
        <w:bidi w:val="0"/>
      </w:pPr>
      <w:r>
        <w:rPr>
          <w:rFonts w:hint="eastAsia"/>
          <w:lang w:val="en-US" w:eastAsia="zh-CN"/>
        </w:rPr>
        <w:t xml:space="preserve">4.3.1 </w:t>
      </w:r>
      <w:r>
        <w:t>田间道路工程标准</w:t>
      </w:r>
    </w:p>
    <w:p w14:paraId="1FDE3EA5">
      <w:pPr>
        <w:bidi w:val="0"/>
        <w:rPr>
          <w:rFonts w:hint="eastAsia" w:eastAsia="宋体"/>
          <w:lang w:eastAsia="zh-CN"/>
        </w:rPr>
      </w:pPr>
      <w:r>
        <w:rPr>
          <w:rFonts w:hint="eastAsia"/>
        </w:rPr>
        <w:t>项目区道路系统主要为农业生产服务，在设计时考虑了项目区周边的环境和原有的道路系统，在充分利用现有道路加以修复的基础上，在项目区内新建田间道。通过实施田间道路工程，构建便捷高效的田间道路体系，使田块之间和田块与居民点保持便捷的交通联系，满足农业机械化生产、安全方便的生活需要，项目区的道路通达度不低于9</w:t>
      </w:r>
      <w:r>
        <w:rPr>
          <w:rFonts w:hint="eastAsia"/>
          <w:lang w:val="en-US" w:eastAsia="zh-CN"/>
        </w:rPr>
        <w:t>0</w:t>
      </w:r>
      <w:r>
        <w:rPr>
          <w:rFonts w:hint="eastAsia"/>
        </w:rPr>
        <w:t>%。素土夯实，压实度</w:t>
      </w:r>
      <w:r>
        <w:rPr>
          <w:rFonts w:hint="eastAsia"/>
          <w:lang w:val="en-US" w:eastAsia="zh-CN"/>
        </w:rPr>
        <w:t>不低于</w:t>
      </w:r>
      <w:r>
        <w:rPr>
          <w:rFonts w:hint="eastAsia"/>
        </w:rPr>
        <w:t>0.85</w:t>
      </w:r>
      <w:r>
        <w:rPr>
          <w:rFonts w:hint="eastAsia"/>
          <w:lang w:eastAsia="zh-CN"/>
        </w:rPr>
        <w:t>。</w:t>
      </w:r>
    </w:p>
    <w:p w14:paraId="22AC71E4">
      <w:pPr>
        <w:bidi w:val="0"/>
        <w:rPr>
          <w:rFonts w:hint="eastAsia"/>
        </w:rPr>
      </w:pPr>
      <w:r>
        <w:rPr>
          <w:rFonts w:hint="eastAsia"/>
        </w:rPr>
        <w:t>本次道路规划设计有机耕道和生产路两种类型。机耕道路面宽为</w:t>
      </w:r>
      <w:r>
        <w:rPr>
          <w:rFonts w:hint="eastAsia"/>
          <w:lang w:val="en-US" w:eastAsia="zh-CN"/>
        </w:rPr>
        <w:t>3.0—</w:t>
      </w:r>
      <w:r>
        <w:rPr>
          <w:rFonts w:hint="eastAsia"/>
        </w:rPr>
        <w:t>3.5m，高出田面0.50m</w:t>
      </w:r>
      <w:r>
        <w:rPr>
          <w:rFonts w:hint="eastAsia"/>
          <w:lang w:val="en-US" w:eastAsia="zh-CN"/>
        </w:rPr>
        <w:t>按农业生产需求路面均使</w:t>
      </w:r>
      <w:r>
        <w:rPr>
          <w:rFonts w:hint="eastAsia"/>
        </w:rPr>
        <w:t>用碎石路面铺设，碎石路面厚10cm。</w:t>
      </w:r>
    </w:p>
    <w:p w14:paraId="409C7729">
      <w:pPr>
        <w:pStyle w:val="4"/>
        <w:bidi w:val="0"/>
        <w:rPr>
          <w:rFonts w:hint="eastAsia" w:eastAsia="黑体"/>
          <w:lang w:val="en-US" w:eastAsia="zh-CN"/>
        </w:rPr>
      </w:pPr>
      <w:r>
        <w:rPr>
          <w:rFonts w:hint="eastAsia"/>
          <w:lang w:val="en-US" w:eastAsia="zh-CN"/>
        </w:rPr>
        <w:t xml:space="preserve">4.3.2 </w:t>
      </w:r>
      <w:r>
        <w:rPr>
          <w:rFonts w:hint="default"/>
        </w:rPr>
        <w:t>路线设计</w:t>
      </w:r>
      <w:r>
        <w:rPr>
          <w:rFonts w:hint="eastAsia"/>
          <w:lang w:val="en-US" w:eastAsia="zh-CN"/>
        </w:rPr>
        <w:t>原则</w:t>
      </w:r>
    </w:p>
    <w:p w14:paraId="1362B106">
      <w:pPr>
        <w:bidi w:val="0"/>
        <w:rPr>
          <w:rFonts w:hint="default"/>
        </w:rPr>
      </w:pPr>
      <w:r>
        <w:rPr>
          <w:rFonts w:hint="default"/>
        </w:rPr>
        <w:t>本规划田间道路设计原则：</w:t>
      </w:r>
    </w:p>
    <w:p w14:paraId="620357DF">
      <w:pPr>
        <w:bidi w:val="0"/>
        <w:rPr>
          <w:rFonts w:hint="default"/>
        </w:rPr>
      </w:pPr>
      <w:r>
        <w:rPr>
          <w:rFonts w:hint="eastAsia"/>
          <w:lang w:eastAsia="zh-CN"/>
        </w:rPr>
        <w:t>（</w:t>
      </w:r>
      <w:r>
        <w:rPr>
          <w:rFonts w:hint="default"/>
        </w:rPr>
        <w:t>1）尽量少占农田，不宜破坏已有的各项建设工程；</w:t>
      </w:r>
    </w:p>
    <w:p w14:paraId="171144AB">
      <w:pPr>
        <w:bidi w:val="0"/>
        <w:rPr>
          <w:rFonts w:hint="default"/>
        </w:rPr>
      </w:pPr>
      <w:r>
        <w:rPr>
          <w:rFonts w:hint="eastAsia"/>
          <w:lang w:eastAsia="zh-CN"/>
        </w:rPr>
        <w:t>（</w:t>
      </w:r>
      <w:r>
        <w:rPr>
          <w:rFonts w:hint="default"/>
        </w:rPr>
        <w:t>2）道路尽量短顺平直，在易受浸没的地段，尽量把路线置于高处，对常年积水洼地，绕行或抬高路基；</w:t>
      </w:r>
    </w:p>
    <w:p w14:paraId="622C5DC7">
      <w:pPr>
        <w:bidi w:val="0"/>
        <w:rPr>
          <w:rFonts w:hint="default"/>
        </w:rPr>
      </w:pPr>
      <w:r>
        <w:rPr>
          <w:rFonts w:hint="eastAsia"/>
          <w:lang w:eastAsia="zh-CN"/>
        </w:rPr>
        <w:t>（</w:t>
      </w:r>
      <w:r>
        <w:rPr>
          <w:rFonts w:hint="default"/>
        </w:rPr>
        <w:t>3）道路布局与田、林、村、渠、沟等布局相协调</w:t>
      </w:r>
      <w:r>
        <w:rPr>
          <w:rFonts w:hint="eastAsia"/>
          <w:lang w:eastAsia="zh-CN"/>
        </w:rPr>
        <w:t>，有</w:t>
      </w:r>
      <w:r>
        <w:rPr>
          <w:rFonts w:hint="default"/>
        </w:rPr>
        <w:t>利于田间生产管理；</w:t>
      </w:r>
    </w:p>
    <w:p w14:paraId="2D481684">
      <w:pPr>
        <w:bidi w:val="0"/>
        <w:rPr>
          <w:rFonts w:hint="default"/>
        </w:rPr>
      </w:pPr>
      <w:r>
        <w:rPr>
          <w:rFonts w:hint="eastAsia"/>
          <w:lang w:eastAsia="zh-CN"/>
        </w:rPr>
        <w:t>（</w:t>
      </w:r>
      <w:r>
        <w:rPr>
          <w:rFonts w:hint="default"/>
        </w:rPr>
        <w:t>4）尽量维修利用原有道路，且维修后的道路达到相应的设计标准；</w:t>
      </w:r>
    </w:p>
    <w:p w14:paraId="3295B2F1">
      <w:pPr>
        <w:bidi w:val="0"/>
        <w:rPr>
          <w:rFonts w:hint="default"/>
        </w:rPr>
      </w:pPr>
      <w:r>
        <w:rPr>
          <w:rFonts w:hint="eastAsia"/>
          <w:lang w:eastAsia="zh-CN"/>
        </w:rPr>
        <w:t>（</w:t>
      </w:r>
      <w:r>
        <w:rPr>
          <w:rFonts w:hint="default"/>
        </w:rPr>
        <w:t>5）尽量使田间道布局形成网状，使道路网具有完善的通达度，尽量避免断头路；</w:t>
      </w:r>
    </w:p>
    <w:p w14:paraId="6DB4C791">
      <w:pPr>
        <w:bidi w:val="0"/>
        <w:rPr>
          <w:rFonts w:hint="default"/>
        </w:rPr>
      </w:pPr>
      <w:r>
        <w:rPr>
          <w:rFonts w:hint="eastAsia"/>
          <w:lang w:eastAsia="zh-CN"/>
        </w:rPr>
        <w:t>（</w:t>
      </w:r>
      <w:r>
        <w:rPr>
          <w:rFonts w:hint="default"/>
        </w:rPr>
        <w:t>6）项目区内外的主要道路应贯通，且与村庄干道相连；</w:t>
      </w:r>
    </w:p>
    <w:p w14:paraId="04772D98">
      <w:pPr>
        <w:bidi w:val="0"/>
        <w:rPr>
          <w:rFonts w:hint="default"/>
        </w:rPr>
      </w:pPr>
      <w:r>
        <w:rPr>
          <w:rFonts w:hint="eastAsia"/>
          <w:lang w:eastAsia="zh-CN"/>
        </w:rPr>
        <w:t>（</w:t>
      </w:r>
      <w:r>
        <w:rPr>
          <w:rFonts w:hint="default"/>
        </w:rPr>
        <w:t>7）保护和改善生态环境，防止水土流失。</w:t>
      </w:r>
    </w:p>
    <w:p w14:paraId="51D60738">
      <w:pPr>
        <w:pStyle w:val="4"/>
        <w:bidi w:val="0"/>
        <w:rPr>
          <w:rFonts w:hint="default"/>
        </w:rPr>
      </w:pPr>
      <w:r>
        <w:rPr>
          <w:rFonts w:hint="eastAsia"/>
          <w:lang w:val="en-US" w:eastAsia="zh-CN"/>
        </w:rPr>
        <w:t xml:space="preserve">4.3.3 </w:t>
      </w:r>
      <w:r>
        <w:rPr>
          <w:rFonts w:hint="default"/>
        </w:rPr>
        <w:t>路基设计</w:t>
      </w:r>
    </w:p>
    <w:p w14:paraId="53F0C950">
      <w:pPr>
        <w:bidi w:val="0"/>
        <w:rPr>
          <w:rFonts w:hint="default"/>
        </w:rPr>
      </w:pPr>
      <w:r>
        <w:rPr>
          <w:rFonts w:hint="default"/>
        </w:rPr>
        <w:t>路基设计根据其使用要求和当地的自然条件（包括地质、水文和材料情况等）并结合施工方案进行设计，使得设计田间道路不但具有足够的强度和稳定性，又经济合理。</w:t>
      </w:r>
    </w:p>
    <w:p w14:paraId="64BECBE6">
      <w:pPr>
        <w:bidi w:val="0"/>
        <w:rPr>
          <w:rFonts w:hint="default"/>
        </w:rPr>
      </w:pPr>
      <w:r>
        <w:rPr>
          <w:rFonts w:hint="eastAsia"/>
          <w:lang w:eastAsia="zh-CN"/>
        </w:rPr>
        <w:t>（</w:t>
      </w:r>
      <w:r>
        <w:rPr>
          <w:rFonts w:hint="eastAsia"/>
          <w:lang w:val="en-US" w:eastAsia="zh-CN"/>
        </w:rPr>
        <w:t>1</w:t>
      </w:r>
      <w:r>
        <w:rPr>
          <w:rFonts w:hint="eastAsia"/>
          <w:lang w:eastAsia="zh-CN"/>
        </w:rPr>
        <w:t>）</w:t>
      </w:r>
      <w:r>
        <w:rPr>
          <w:rFonts w:hint="default"/>
        </w:rPr>
        <w:t>路基宽度：路基宽度为路面宽度与路肩宽度之和。</w:t>
      </w:r>
    </w:p>
    <w:p w14:paraId="53A27ED7">
      <w:pPr>
        <w:bidi w:val="0"/>
        <w:rPr>
          <w:rFonts w:hint="default"/>
        </w:rPr>
      </w:pPr>
      <w:r>
        <w:rPr>
          <w:rFonts w:hint="eastAsia"/>
          <w:lang w:eastAsia="zh-CN"/>
        </w:rPr>
        <w:t>（</w:t>
      </w:r>
      <w:r>
        <w:rPr>
          <w:rFonts w:hint="default"/>
        </w:rPr>
        <w:t>2）路基高度：本设计路基高度使路肩边缘高出路基两侧地面积水高度，同时考虑土壤、地质、地下水、毛细水的作用，不致影响路基的强度和稳定性。路基高度为0.5m。</w:t>
      </w:r>
    </w:p>
    <w:p w14:paraId="589F3F1D">
      <w:pPr>
        <w:bidi w:val="0"/>
        <w:rPr>
          <w:rFonts w:hint="eastAsia"/>
          <w:lang w:eastAsia="zh-CN"/>
        </w:rPr>
      </w:pPr>
      <w:r>
        <w:rPr>
          <w:rFonts w:hint="eastAsia"/>
          <w:lang w:eastAsia="zh-CN"/>
        </w:rPr>
        <w:t>（</w:t>
      </w:r>
      <w:r>
        <w:rPr>
          <w:rFonts w:hint="default"/>
        </w:rPr>
        <w:t>3）路基材料：本规划采用土质路基，填筑土料在清除地表杂草等所有杂质后于项目区</w:t>
      </w:r>
      <w:r>
        <w:rPr>
          <w:rFonts w:hint="eastAsia"/>
          <w:lang w:val="en-US" w:eastAsia="zh-CN"/>
        </w:rPr>
        <w:t>周边取土点取土</w:t>
      </w:r>
      <w:r>
        <w:rPr>
          <w:rFonts w:hint="default"/>
        </w:rPr>
        <w:t>进行挖取</w:t>
      </w:r>
      <w:r>
        <w:rPr>
          <w:rFonts w:hint="eastAsia"/>
          <w:lang w:eastAsia="zh-CN"/>
        </w:rPr>
        <w:t>以及损毁沟渠拆除土石方</w:t>
      </w:r>
      <w:r>
        <w:rPr>
          <w:rFonts w:hint="default"/>
        </w:rPr>
        <w:t>填筑夯实</w:t>
      </w:r>
      <w:r>
        <w:rPr>
          <w:rFonts w:hint="eastAsia"/>
          <w:lang w:eastAsia="zh-CN"/>
        </w:rPr>
        <w:t>。土地平整过程中如出现弃土可使用弃土进行填筑，修建傍山道路时亦可在不破坏林木的情况下适当取用山边土进行道路填筑。</w:t>
      </w:r>
    </w:p>
    <w:p w14:paraId="211F9BE5">
      <w:pPr>
        <w:pStyle w:val="4"/>
        <w:bidi w:val="0"/>
        <w:rPr>
          <w:rFonts w:hint="default"/>
        </w:rPr>
      </w:pPr>
      <w:r>
        <w:rPr>
          <w:rFonts w:hint="eastAsia"/>
          <w:lang w:val="en-US" w:eastAsia="zh-CN"/>
        </w:rPr>
        <w:t xml:space="preserve">4.3.4 </w:t>
      </w:r>
      <w:r>
        <w:rPr>
          <w:rFonts w:hint="default"/>
        </w:rPr>
        <w:t>田间道路面设计</w:t>
      </w:r>
    </w:p>
    <w:p w14:paraId="47D5CC4E">
      <w:pPr>
        <w:bidi w:val="0"/>
        <w:rPr>
          <w:rFonts w:hint="eastAsia"/>
          <w:b/>
          <w:bCs/>
          <w:lang w:eastAsia="zh-CN"/>
        </w:rPr>
      </w:pPr>
      <w:r>
        <w:rPr>
          <w:rFonts w:hint="eastAsia"/>
          <w:b/>
          <w:bCs/>
          <w:lang w:eastAsia="zh-CN"/>
        </w:rPr>
        <w:t>（</w:t>
      </w:r>
      <w:r>
        <w:rPr>
          <w:rFonts w:hint="eastAsia"/>
          <w:b/>
          <w:bCs/>
          <w:lang w:val="en-US" w:eastAsia="zh-CN"/>
        </w:rPr>
        <w:t>1</w:t>
      </w:r>
      <w:r>
        <w:rPr>
          <w:rFonts w:hint="eastAsia"/>
          <w:b/>
          <w:bCs/>
          <w:lang w:eastAsia="zh-CN"/>
        </w:rPr>
        <w:t>）</w:t>
      </w:r>
      <w:r>
        <w:rPr>
          <w:rFonts w:hint="default"/>
          <w:b/>
          <w:bCs/>
        </w:rPr>
        <w:t>机耕道</w:t>
      </w:r>
    </w:p>
    <w:p w14:paraId="41F5D25B">
      <w:pPr>
        <w:bidi w:val="0"/>
        <w:rPr>
          <w:rFonts w:hint="eastAsia"/>
          <w:lang w:val="en-US" w:eastAsia="zh-CN"/>
        </w:rPr>
      </w:pPr>
      <w:r>
        <w:rPr>
          <w:rFonts w:hint="default"/>
        </w:rPr>
        <w:t>机耕道为路面宽为3</w:t>
      </w:r>
      <w:r>
        <w:rPr>
          <w:rFonts w:hint="eastAsia"/>
          <w:lang w:eastAsia="zh-CN"/>
        </w:rPr>
        <w:t>—</w:t>
      </w:r>
      <w:r>
        <w:rPr>
          <w:rFonts w:hint="eastAsia"/>
          <w:lang w:val="en-US" w:eastAsia="zh-CN"/>
        </w:rPr>
        <w:t>3.5</w:t>
      </w:r>
      <w:r>
        <w:rPr>
          <w:rFonts w:hint="default"/>
        </w:rPr>
        <w:t>m</w:t>
      </w:r>
      <w:r>
        <w:rPr>
          <w:rFonts w:hint="eastAsia"/>
          <w:lang w:eastAsia="zh-CN"/>
        </w:rPr>
        <w:t>，</w:t>
      </w:r>
      <w:r>
        <w:rPr>
          <w:rFonts w:hint="default"/>
        </w:rPr>
        <w:t>路面采用碎石路面</w:t>
      </w:r>
      <w:r>
        <w:rPr>
          <w:rFonts w:hint="eastAsia"/>
          <w:lang w:val="en-US" w:eastAsia="zh-CN"/>
        </w:rPr>
        <w:t>。</w:t>
      </w:r>
    </w:p>
    <w:p w14:paraId="48014D26">
      <w:pPr>
        <w:bidi w:val="0"/>
        <w:rPr>
          <w:rFonts w:hint="eastAsia"/>
          <w:lang w:val="en-US" w:eastAsia="zh-CN"/>
        </w:rPr>
      </w:pPr>
      <w:r>
        <w:rPr>
          <w:rFonts w:hint="eastAsia"/>
          <w:lang w:val="en-US" w:eastAsia="zh-CN"/>
        </w:rPr>
        <w:t>施工时，应先将表层耕作层剥离25cm后再进行道路施工，土方回填采用客土回填，压实度≥0.85；部分道路应结合田块工程和渠道实际情况进行路基挖填方，使道路路面整体符合要求；道路施工应符合《公路柔性路面设计规范》（JTJ014-86）等规范要求，道路不平整度控制在≤50mm；碎石的最大粒径不超过53mm，砂砾石颗粒中细长及扁平颗粒含量不超过20%，石料压碎值不大于35%，不能含有其他杂物，碎石符合级配要求。</w:t>
      </w:r>
    </w:p>
    <w:p w14:paraId="7199B608">
      <w:pPr>
        <w:pStyle w:val="3"/>
        <w:bidi w:val="0"/>
      </w:pPr>
      <w:bookmarkStart w:id="57" w:name="_Toc7291"/>
      <w:r>
        <w:rPr>
          <w:rFonts w:hint="eastAsia"/>
          <w:lang w:val="en-US" w:eastAsia="zh-CN"/>
        </w:rPr>
        <w:t xml:space="preserve">4.4 </w:t>
      </w:r>
      <w:r>
        <w:t>工程建设内容汇总</w:t>
      </w:r>
      <w:bookmarkEnd w:id="57"/>
    </w:p>
    <w:p w14:paraId="59F00D6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表4.4-1 高标准农田基础设施建设工程量汇总表</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43"/>
        <w:gridCol w:w="4346"/>
        <w:gridCol w:w="1043"/>
        <w:gridCol w:w="1043"/>
        <w:gridCol w:w="1044"/>
      </w:tblGrid>
      <w:tr w14:paraId="3AE0A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blHeader/>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DA2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编号</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1B6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项目名称</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9B6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单位</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C9F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规格</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B5F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工程量</w:t>
            </w:r>
          </w:p>
        </w:tc>
      </w:tr>
      <w:tr w14:paraId="5B695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B62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B09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田块整治工程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F293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3F44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40D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6B49D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A0C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E14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田块修筑</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8F4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3E0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2AB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E970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35B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282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耕作层剥离和回填</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EC7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83F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378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F4CF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CC5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5BD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细部平整</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97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345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356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1885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787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cs="Times New Roman"/>
                <w:i w:val="0"/>
                <w:iCs w:val="0"/>
                <w:color w:val="000000"/>
                <w:kern w:val="0"/>
                <w:sz w:val="21"/>
                <w:szCs w:val="21"/>
                <w:u w:val="none"/>
                <w:lang w:val="en-US" w:eastAsia="zh-CN" w:bidi="ar"/>
              </w:rPr>
              <w:t>1.4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92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田埂修筑</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D00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B67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835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119</w:t>
            </w:r>
          </w:p>
        </w:tc>
      </w:tr>
      <w:tr w14:paraId="035980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FEE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2A9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灌溉与排水工程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EF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71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884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p>
        </w:tc>
      </w:tr>
      <w:tr w14:paraId="0D36B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868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522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小型水源工程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93E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ED4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3EF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B8F8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53F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0D8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塘堰（坝）</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DDC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6E0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E8F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1BA00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917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C18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蓄水池和小型集雨设施</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2BE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114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7C7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5C38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73F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7F6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小型泵站</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528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BD0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A5A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E4BD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CD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2.1.4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621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农用机井</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663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22D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0A4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9F87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AC0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C18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输配水工程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8ED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9F6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6CF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p>
        </w:tc>
      </w:tr>
      <w:tr w14:paraId="0B064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575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A1C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明渠</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2C2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7D9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B81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1670</w:t>
            </w:r>
          </w:p>
        </w:tc>
      </w:tr>
      <w:tr w14:paraId="63367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B68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2.2.2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9B6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管道</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4E7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97F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08B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8A59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49E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D06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渠系建筑物工程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A61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6DD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B02A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r>
      <w:tr w14:paraId="315F0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1E0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D8B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农桥</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B86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A46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C34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450A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AED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7E6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渡槽</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A60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F1C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182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FD78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F3A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7F3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倒虹吸</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8C0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FF1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016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FCE9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E25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C40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涵洞</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BD3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7BC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47E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cs="宋体"/>
                <w:i w:val="0"/>
                <w:iCs w:val="0"/>
                <w:color w:val="000000"/>
                <w:kern w:val="0"/>
                <w:sz w:val="21"/>
                <w:szCs w:val="21"/>
                <w:u w:val="none"/>
                <w:lang w:val="en-US" w:eastAsia="zh-CN" w:bidi="ar"/>
              </w:rPr>
              <w:t>1</w:t>
            </w:r>
          </w:p>
        </w:tc>
      </w:tr>
      <w:tr w14:paraId="148F6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3B1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2.3.5</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252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水闸</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E69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E49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CC5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432E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98F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2.3.6</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AA5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跌水与陡坡</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BA5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C6E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77F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FC38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4A6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2.3.7</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CA0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量水设施</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B07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0A8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A0EC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C137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7A4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2.3.8</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0EA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下田坡道</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32D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80D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DB9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C02F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85F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2.3.9</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F93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沉砂池</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017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457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A6B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D060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541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2.3.10</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2C7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进水口</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8AC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948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4F8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B196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D7C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C68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高效节水工程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764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B47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F96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FCCA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3D1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99A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管道输水灌溉</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43C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AEF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E8B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BE85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4B1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6E0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喷灌</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5DE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972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344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54F8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3D0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2.4.3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4D6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微灌</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993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E8C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0DD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3B18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7B0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E6D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排水工程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EE3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401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F01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7A17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891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CFC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明沟排水工程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F83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130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F67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C82A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F99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641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暗管排水工程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262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BE2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815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3FD3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9F2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AB0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排水井</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ED8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9AF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51D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B9C8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05C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B69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排涝站</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F5B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0DA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EB8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63CB1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0F2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2.5.5</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FBB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排水闸</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F8C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C18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C80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F8DF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F92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2.5.6</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8C9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其他建筑物</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85B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4E4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BD5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50B4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432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298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田间道路工程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DD5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D9E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B42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16E1C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73E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A71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田间道（机耕路）</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683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6C9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D2C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1160</w:t>
            </w:r>
          </w:p>
        </w:tc>
      </w:tr>
      <w:tr w14:paraId="1DA00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F82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216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生产路</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16F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E4F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3BE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37344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629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93E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附属设施</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F58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2ED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4EA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C0C4C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7E8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DDD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农田防护与生态环境保护工程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197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DC1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CB3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1BEB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B1E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66F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岸坡防护工程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529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4C1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005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5DA8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D8F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8C3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护地堤</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5E7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CB7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242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B025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C80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4.1.2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C79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生态护岸</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56E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BD8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1BF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10DD8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435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409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坡面防护工程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9DCA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D39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449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AB19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4CA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3B7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护坡</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B63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087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B25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2901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496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3AF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截水沟</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431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A5B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51A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8396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237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C2E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小型蓄水工程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0F4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968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789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C9AE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D99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4.2.4</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517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排洪沟</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332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FB8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964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23915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9D5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072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沟道治理工程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57B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A3C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C73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w:t>
            </w:r>
          </w:p>
        </w:tc>
      </w:tr>
      <w:tr w14:paraId="62581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310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F7A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谷坊</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E87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座</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275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8FE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CF31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7DA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4.3.2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B4D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沟头防护</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C6D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14B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3E0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D78E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371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814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农田输配电工程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7500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7A8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637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4D034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58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D71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输电线路工程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86A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40C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760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7EDA9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4BB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E6D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10kv</w:t>
            </w:r>
            <w:r>
              <w:rPr>
                <w:rFonts w:hint="eastAsia" w:ascii="宋体" w:hAnsi="宋体" w:eastAsia="宋体" w:cs="宋体"/>
                <w:i w:val="0"/>
                <w:iCs w:val="0"/>
                <w:color w:val="000000"/>
                <w:kern w:val="0"/>
                <w:sz w:val="21"/>
                <w:szCs w:val="21"/>
                <w:u w:val="none"/>
                <w:lang w:val="en-US" w:eastAsia="zh-CN" w:bidi="ar"/>
              </w:rPr>
              <w:t>以下的高压输电线路</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634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4DE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918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1CB89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B65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5.1.2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DB0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低压输电线路</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969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km</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AAC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39C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w:t>
            </w:r>
          </w:p>
        </w:tc>
      </w:tr>
      <w:tr w14:paraId="52519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605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DA6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变配电装置</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ACE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1E8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C13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97E0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D90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5.2.1</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35E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变压器</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2E4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691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88B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5D458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BC4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5.2.2</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B88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配电箱（屏）</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FF1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D2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AB8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4CE59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4B9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5.2.3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8A4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其他变配电装置</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0A2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D57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021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r w14:paraId="0B23C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E65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5.3</w:t>
            </w:r>
          </w:p>
        </w:tc>
        <w:tc>
          <w:tcPr>
            <w:tcW w:w="25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FA6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弱电工程</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B09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处</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F31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0A8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r>
    </w:tbl>
    <w:p w14:paraId="0535CEE6">
      <w:pPr>
        <w:bidi w:val="0"/>
      </w:pPr>
    </w:p>
    <w:p w14:paraId="0F5E96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表4.4-1 高标准农田基础设施建设工程量表</w:t>
      </w:r>
    </w:p>
    <w:p w14:paraId="3918FEDB">
      <w:pPr>
        <w:bidi w:val="0"/>
      </w:pPr>
    </w:p>
    <w:tbl>
      <w:tblPr>
        <w:tblStyle w:val="17"/>
        <w:tblW w:w="505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36"/>
        <w:gridCol w:w="846"/>
        <w:gridCol w:w="846"/>
        <w:gridCol w:w="3471"/>
        <w:gridCol w:w="636"/>
        <w:gridCol w:w="636"/>
        <w:gridCol w:w="2736"/>
      </w:tblGrid>
      <w:tr w14:paraId="22939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7F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序号</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2C0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村名</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B55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kern w:val="0"/>
                <w:sz w:val="21"/>
                <w:szCs w:val="21"/>
                <w:u w:val="none"/>
                <w:lang w:val="en-US" w:eastAsia="zh-CN" w:bidi="ar"/>
              </w:rPr>
            </w:pPr>
            <w:r>
              <w:rPr>
                <w:rFonts w:hint="default" w:ascii="Times New Roman" w:hAnsi="Times New Roman" w:eastAsia="宋体" w:cs="Times New Roman"/>
                <w:b w:val="0"/>
                <w:bCs w:val="0"/>
                <w:i w:val="0"/>
                <w:iCs w:val="0"/>
                <w:color w:val="auto"/>
                <w:kern w:val="0"/>
                <w:sz w:val="21"/>
                <w:szCs w:val="21"/>
                <w:u w:val="none"/>
                <w:lang w:val="en-US" w:eastAsia="zh-CN" w:bidi="ar"/>
              </w:rPr>
              <w:t>面积</w:t>
            </w:r>
          </w:p>
          <w:p w14:paraId="56EA29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（亩）</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467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编号</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B13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单位</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F43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数量</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F81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备注</w:t>
            </w:r>
          </w:p>
        </w:tc>
      </w:tr>
      <w:tr w14:paraId="0D75A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ECA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BD0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关山村</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0E5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85.79</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99D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改建斗渠(0.6*0.6砼)-1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A95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874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380</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F84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419C2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B589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B92A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513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B9E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改建斗渠(0.8*0.8砼)-2</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223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92C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80</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511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5C514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32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5950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7BC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2AD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31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4米盖板涵</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316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座</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F50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F17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原有涵破损需修复</w:t>
            </w:r>
          </w:p>
        </w:tc>
      </w:tr>
      <w:tr w14:paraId="06D08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920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EF4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丽阳村</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FFD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131.4</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E02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沟渠维修(0.6*0.6砼)</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3B7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71A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521</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963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65ABC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32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282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20B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联村村</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230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105.12</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F55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修复机耕道(3*0.5m碎石)-1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DC9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888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365</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821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7E863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32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FCC0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743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229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682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修复机耕道(3*0.5m碎石)-2</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72F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676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26</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1EA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77D54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32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7E2A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148D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BC13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5F0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改建机耕道(3.5*0.5碎石)-1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73A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D67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385</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FC0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42A4E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723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06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新柳村</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311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59.25</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81E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拆建农渠(0.4*0.4砼)-1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DD3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BD3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432</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DC1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原有u型槽拆除</w:t>
            </w:r>
          </w:p>
        </w:tc>
      </w:tr>
      <w:tr w14:paraId="26B90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B7E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C59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凤岗村</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AAA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84.41</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98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改建机耕道(3.5*0.5碎石)-1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558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41D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384</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83D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3BF98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85F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6</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171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鱼山村</w:t>
            </w:r>
          </w:p>
        </w:tc>
        <w:tc>
          <w:tcPr>
            <w:tcW w:w="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709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53.64</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F7E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改建农渠(0.4*0.4砼)-1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891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11F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257</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8BF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33478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32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A8A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DB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85A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37B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修复田埂(上底0.4下底0.7高0.5)-1</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928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820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119</w:t>
            </w: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640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原有田埂冲毁需修复加高</w:t>
            </w:r>
          </w:p>
        </w:tc>
      </w:tr>
      <w:tr w14:paraId="117FE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jc w:val="center"/>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0EBD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948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合计</w:t>
            </w:r>
          </w:p>
        </w:tc>
        <w:tc>
          <w:tcPr>
            <w:tcW w:w="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CCC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519.61</w:t>
            </w:r>
          </w:p>
        </w:tc>
        <w:tc>
          <w:tcPr>
            <w:tcW w:w="1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46DB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6C5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B490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66F6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r>
    </w:tbl>
    <w:p w14:paraId="2A5B9499">
      <w:pPr>
        <w:bidi w:val="0"/>
        <w:sectPr>
          <w:pgSz w:w="11906" w:h="16838"/>
          <w:pgMar w:top="1440" w:right="1800" w:bottom="1440" w:left="1800" w:header="851" w:footer="992" w:gutter="0"/>
          <w:pgNumType w:fmt="decimal"/>
          <w:cols w:space="425" w:num="1"/>
          <w:docGrid w:type="lines" w:linePitch="312" w:charSpace="0"/>
        </w:sectPr>
      </w:pPr>
    </w:p>
    <w:p w14:paraId="7D3D1613">
      <w:pPr>
        <w:pStyle w:val="2"/>
        <w:bidi w:val="0"/>
        <w:rPr>
          <w:rFonts w:hint="eastAsia"/>
          <w:lang w:val="en-US" w:eastAsia="zh-CN"/>
        </w:rPr>
      </w:pPr>
      <w:bookmarkStart w:id="58" w:name="_Toc29544"/>
      <w:bookmarkStart w:id="59" w:name="_Toc17757"/>
      <w:r>
        <w:rPr>
          <w:rFonts w:hint="eastAsia"/>
          <w:lang w:val="en-US" w:eastAsia="zh-CN"/>
        </w:rPr>
        <w:t>第五章  施工组织设计</w:t>
      </w:r>
      <w:bookmarkEnd w:id="58"/>
      <w:bookmarkEnd w:id="59"/>
    </w:p>
    <w:p w14:paraId="77A956B4">
      <w:pPr>
        <w:pStyle w:val="3"/>
        <w:bidi w:val="0"/>
        <w:rPr>
          <w:rFonts w:hint="default"/>
        </w:rPr>
      </w:pPr>
      <w:bookmarkStart w:id="60" w:name="_Toc180894954"/>
      <w:bookmarkStart w:id="61" w:name="_Toc403988767"/>
      <w:bookmarkStart w:id="62" w:name="_Toc24686"/>
      <w:bookmarkStart w:id="63" w:name="_Toc29067"/>
      <w:bookmarkStart w:id="64" w:name="_Toc488607851"/>
      <w:bookmarkStart w:id="65" w:name="_Toc3978"/>
      <w:bookmarkStart w:id="66" w:name="_Toc84688381"/>
      <w:bookmarkStart w:id="67" w:name="_Toc11495"/>
      <w:bookmarkStart w:id="68" w:name="_Toc8519"/>
      <w:bookmarkStart w:id="69" w:name="_Toc3347"/>
      <w:bookmarkStart w:id="70" w:name="_Toc27707"/>
      <w:bookmarkStart w:id="71" w:name="_Toc28424"/>
      <w:r>
        <w:rPr>
          <w:rFonts w:hint="eastAsia"/>
          <w:lang w:val="en-US" w:eastAsia="zh-CN"/>
        </w:rPr>
        <w:t xml:space="preserve">5.1 </w:t>
      </w:r>
      <w:r>
        <w:rPr>
          <w:rFonts w:hint="default"/>
        </w:rPr>
        <w:t>施工条件</w:t>
      </w:r>
      <w:bookmarkEnd w:id="60"/>
      <w:bookmarkEnd w:id="61"/>
      <w:bookmarkEnd w:id="62"/>
      <w:bookmarkEnd w:id="63"/>
      <w:bookmarkEnd w:id="64"/>
      <w:bookmarkEnd w:id="65"/>
      <w:bookmarkEnd w:id="66"/>
      <w:bookmarkEnd w:id="67"/>
      <w:bookmarkEnd w:id="68"/>
      <w:bookmarkEnd w:id="69"/>
      <w:bookmarkEnd w:id="70"/>
      <w:bookmarkEnd w:id="71"/>
    </w:p>
    <w:p w14:paraId="76C54794">
      <w:pPr>
        <w:pStyle w:val="4"/>
        <w:bidi w:val="0"/>
        <w:rPr>
          <w:rFonts w:hint="default"/>
        </w:rPr>
      </w:pPr>
      <w:bookmarkStart w:id="72" w:name="_Toc205608722"/>
      <w:bookmarkStart w:id="73" w:name="_Toc205608475"/>
      <w:bookmarkStart w:id="74" w:name="_Toc488607852"/>
      <w:bookmarkStart w:id="75" w:name="_Toc403988768"/>
      <w:bookmarkStart w:id="76" w:name="_Toc25397"/>
      <w:bookmarkStart w:id="77" w:name="_Toc7488"/>
      <w:r>
        <w:rPr>
          <w:rFonts w:hint="eastAsia"/>
          <w:lang w:val="en-US" w:eastAsia="zh-CN"/>
        </w:rPr>
        <w:t xml:space="preserve">5.1.1 </w:t>
      </w:r>
      <w:r>
        <w:rPr>
          <w:rFonts w:hint="default"/>
        </w:rPr>
        <w:t>施工条件</w:t>
      </w:r>
      <w:bookmarkEnd w:id="72"/>
      <w:bookmarkEnd w:id="73"/>
      <w:r>
        <w:rPr>
          <w:rFonts w:hint="default"/>
        </w:rPr>
        <w:t>综述</w:t>
      </w:r>
      <w:bookmarkEnd w:id="74"/>
      <w:bookmarkEnd w:id="75"/>
      <w:bookmarkEnd w:id="76"/>
      <w:bookmarkEnd w:id="77"/>
    </w:p>
    <w:p w14:paraId="16EB5EE4">
      <w:pPr>
        <w:bidi w:val="0"/>
        <w:rPr>
          <w:rFonts w:hint="default"/>
        </w:rPr>
      </w:pPr>
      <w:r>
        <w:rPr>
          <w:rFonts w:hint="default"/>
        </w:rPr>
        <w:t>项目区各片均有乡级水泥路通达，交通便利。</w:t>
      </w:r>
    </w:p>
    <w:p w14:paraId="468D0087">
      <w:pPr>
        <w:bidi w:val="0"/>
        <w:rPr>
          <w:rFonts w:hint="default"/>
        </w:rPr>
      </w:pPr>
      <w:r>
        <w:rPr>
          <w:rFonts w:hint="default"/>
        </w:rPr>
        <w:t>项目区处于中亚热带的过渡带，雨量充沛，四季分明，光照较足，无霜期长的特点。有利于工程建设和施工，但在冬季多雨季节对施工有一定影响。</w:t>
      </w:r>
    </w:p>
    <w:p w14:paraId="015BF5A7">
      <w:pPr>
        <w:bidi w:val="0"/>
        <w:rPr>
          <w:rFonts w:hint="default"/>
        </w:rPr>
      </w:pPr>
      <w:r>
        <w:rPr>
          <w:rFonts w:hint="default"/>
        </w:rPr>
        <w:t>水文及水文地质条件好，区域地质稳定性较好，地基土层稳定，承载力较高，岩体工程地质性质良好，适宜于各种工程构筑物的建设。</w:t>
      </w:r>
    </w:p>
    <w:p w14:paraId="7150F145">
      <w:pPr>
        <w:pStyle w:val="4"/>
        <w:bidi w:val="0"/>
        <w:rPr>
          <w:rFonts w:hint="default"/>
        </w:rPr>
      </w:pPr>
      <w:bookmarkStart w:id="78" w:name="_Toc194043614"/>
      <w:bookmarkStart w:id="79" w:name="_Toc205608723"/>
      <w:bookmarkStart w:id="80" w:name="_Toc205608476"/>
      <w:bookmarkStart w:id="81" w:name="_Toc201567487"/>
      <w:bookmarkStart w:id="82" w:name="_Toc289"/>
      <w:bookmarkStart w:id="83" w:name="_Toc488607853"/>
      <w:bookmarkStart w:id="84" w:name="_Toc403988769"/>
      <w:bookmarkStart w:id="85" w:name="_Toc776"/>
      <w:r>
        <w:rPr>
          <w:rFonts w:hint="eastAsia"/>
          <w:lang w:val="en-US" w:eastAsia="zh-CN"/>
        </w:rPr>
        <w:t xml:space="preserve">5.1.2 </w:t>
      </w:r>
      <w:r>
        <w:rPr>
          <w:rFonts w:hint="default"/>
        </w:rPr>
        <w:t>项目区交通</w:t>
      </w:r>
      <w:bookmarkEnd w:id="78"/>
      <w:bookmarkEnd w:id="79"/>
      <w:bookmarkEnd w:id="80"/>
      <w:bookmarkEnd w:id="81"/>
      <w:r>
        <w:rPr>
          <w:rFonts w:hint="default"/>
        </w:rPr>
        <w:t>设施</w:t>
      </w:r>
      <w:bookmarkEnd w:id="82"/>
      <w:bookmarkEnd w:id="83"/>
      <w:bookmarkEnd w:id="84"/>
      <w:bookmarkEnd w:id="85"/>
    </w:p>
    <w:p w14:paraId="2F73D3FC">
      <w:pPr>
        <w:bidi w:val="0"/>
        <w:rPr>
          <w:rFonts w:hint="default"/>
        </w:rPr>
      </w:pPr>
      <w:r>
        <w:rPr>
          <w:rFonts w:hint="default"/>
        </w:rPr>
        <w:t>各片均有乡级水泥路通达，对外交通便利，材料及机械入场均比较方便。</w:t>
      </w:r>
    </w:p>
    <w:p w14:paraId="3E2DF240">
      <w:pPr>
        <w:pStyle w:val="4"/>
        <w:bidi w:val="0"/>
        <w:rPr>
          <w:rFonts w:hint="default"/>
        </w:rPr>
      </w:pPr>
      <w:bookmarkStart w:id="86" w:name="_Toc194043616"/>
      <w:bookmarkStart w:id="87" w:name="_Toc205608725"/>
      <w:bookmarkStart w:id="88" w:name="_Toc205608478"/>
      <w:bookmarkStart w:id="89" w:name="_Toc201567489"/>
      <w:bookmarkStart w:id="90" w:name="_Toc26954"/>
      <w:bookmarkStart w:id="91" w:name="_Toc2840"/>
      <w:bookmarkStart w:id="92" w:name="_Toc403988770"/>
      <w:bookmarkStart w:id="93" w:name="_Toc488607854"/>
      <w:r>
        <w:rPr>
          <w:rFonts w:hint="eastAsia"/>
          <w:lang w:val="en-US" w:eastAsia="zh-CN"/>
        </w:rPr>
        <w:t xml:space="preserve">5.1.3 </w:t>
      </w:r>
      <w:r>
        <w:rPr>
          <w:rFonts w:hint="default"/>
        </w:rPr>
        <w:t>当地建筑</w:t>
      </w:r>
      <w:bookmarkEnd w:id="86"/>
      <w:bookmarkEnd w:id="87"/>
      <w:bookmarkEnd w:id="88"/>
      <w:bookmarkEnd w:id="89"/>
      <w:r>
        <w:rPr>
          <w:rFonts w:hint="default"/>
        </w:rPr>
        <w:t>材料供应条件</w:t>
      </w:r>
      <w:bookmarkEnd w:id="90"/>
      <w:bookmarkEnd w:id="91"/>
      <w:bookmarkEnd w:id="92"/>
      <w:bookmarkEnd w:id="93"/>
    </w:p>
    <w:p w14:paraId="57B4825C">
      <w:pPr>
        <w:bidi w:val="0"/>
        <w:rPr>
          <w:rFonts w:hint="default"/>
        </w:rPr>
      </w:pPr>
      <w:r>
        <w:rPr>
          <w:rFonts w:hint="default"/>
        </w:rPr>
        <w:t>项目内原材料供应较方便，均可就近购买，可根据工程设计特点满足不同的工程需要。</w:t>
      </w:r>
    </w:p>
    <w:p w14:paraId="5FF850EB">
      <w:pPr>
        <w:bidi w:val="0"/>
        <w:rPr>
          <w:rFonts w:hint="default"/>
        </w:rPr>
      </w:pPr>
      <w:r>
        <w:rPr>
          <w:rFonts w:hint="default"/>
        </w:rPr>
        <w:t>工程所需水泥、钢筋、木材等均可从</w:t>
      </w:r>
      <w:r>
        <w:rPr>
          <w:rFonts w:hint="eastAsia"/>
          <w:lang w:val="en-US" w:eastAsia="zh-CN"/>
        </w:rPr>
        <w:t>市区</w:t>
      </w:r>
      <w:r>
        <w:rPr>
          <w:rFonts w:hint="default"/>
        </w:rPr>
        <w:t>购买；土料可就近开采，项目区附近多为低丘岗地地貌，土料丰富；砂、石可就近从各料场采购，田间道素土路基用土可在项目区旁的山丘取土，其储量和质量均能满足工程要求，且运输方便。</w:t>
      </w:r>
    </w:p>
    <w:p w14:paraId="5B9AC6C2">
      <w:pPr>
        <w:pStyle w:val="4"/>
        <w:bidi w:val="0"/>
        <w:rPr>
          <w:rFonts w:hint="default"/>
        </w:rPr>
      </w:pPr>
      <w:bookmarkStart w:id="94" w:name="_Toc403988771"/>
      <w:bookmarkStart w:id="95" w:name="_Toc488607855"/>
      <w:bookmarkStart w:id="96" w:name="_Toc7607"/>
      <w:bookmarkStart w:id="97" w:name="_Toc6882"/>
      <w:r>
        <w:rPr>
          <w:rFonts w:hint="eastAsia"/>
          <w:lang w:val="en-US" w:eastAsia="zh-CN"/>
        </w:rPr>
        <w:t xml:space="preserve">5.1.4 </w:t>
      </w:r>
      <w:r>
        <w:rPr>
          <w:rFonts w:hint="default"/>
        </w:rPr>
        <w:t>其他社会、经济条件</w:t>
      </w:r>
      <w:bookmarkEnd w:id="94"/>
      <w:bookmarkEnd w:id="95"/>
      <w:bookmarkEnd w:id="96"/>
      <w:bookmarkEnd w:id="97"/>
    </w:p>
    <w:p w14:paraId="4BD1ABFD">
      <w:pPr>
        <w:bidi w:val="0"/>
        <w:rPr>
          <w:rFonts w:hint="default"/>
        </w:rPr>
      </w:pPr>
      <w:r>
        <w:rPr>
          <w:rFonts w:hint="default"/>
        </w:rPr>
        <w:t>主要是劳动力供应。</w:t>
      </w:r>
    </w:p>
    <w:p w14:paraId="45756FD6">
      <w:pPr>
        <w:bidi w:val="0"/>
        <w:rPr>
          <w:rFonts w:hint="default"/>
        </w:rPr>
      </w:pPr>
      <w:r>
        <w:rPr>
          <w:rFonts w:hint="default"/>
        </w:rPr>
        <w:t>一般来说，对土方量大的项目，其施工就需要当地的劳动力配合，在组织施工时应将大量的工程项目安排在农闲季节；对混凝土工程量大的工程项目，技术性较强，应安排集中施工，可以最大限度地利用当地劳动力。</w:t>
      </w:r>
    </w:p>
    <w:p w14:paraId="154EB273">
      <w:pPr>
        <w:pStyle w:val="3"/>
        <w:bidi w:val="0"/>
        <w:rPr>
          <w:rFonts w:hint="default"/>
        </w:rPr>
      </w:pPr>
      <w:bookmarkStart w:id="98" w:name="_Toc26696"/>
      <w:bookmarkStart w:id="99" w:name="_Toc84688382"/>
      <w:bookmarkStart w:id="100" w:name="_Toc28095"/>
      <w:bookmarkStart w:id="101" w:name="_Toc403988772"/>
      <w:bookmarkStart w:id="102" w:name="_Toc10214"/>
      <w:bookmarkStart w:id="103" w:name="_Toc6742"/>
      <w:bookmarkStart w:id="104" w:name="_Toc24996"/>
      <w:bookmarkStart w:id="105" w:name="_Toc14086"/>
      <w:bookmarkStart w:id="106" w:name="_Toc25938"/>
      <w:bookmarkStart w:id="107" w:name="_Toc488607856"/>
      <w:bookmarkStart w:id="108" w:name="_Toc26894"/>
      <w:r>
        <w:rPr>
          <w:rFonts w:hint="eastAsia"/>
          <w:lang w:val="en-US" w:eastAsia="zh-CN"/>
        </w:rPr>
        <w:t xml:space="preserve">5.2 </w:t>
      </w:r>
      <w:r>
        <w:rPr>
          <w:rFonts w:hint="default"/>
        </w:rPr>
        <w:t>施工总布置</w:t>
      </w:r>
      <w:bookmarkEnd w:id="98"/>
      <w:bookmarkEnd w:id="99"/>
      <w:bookmarkEnd w:id="100"/>
      <w:bookmarkEnd w:id="101"/>
      <w:bookmarkEnd w:id="102"/>
      <w:bookmarkEnd w:id="103"/>
      <w:bookmarkEnd w:id="104"/>
      <w:bookmarkEnd w:id="105"/>
      <w:bookmarkEnd w:id="106"/>
      <w:bookmarkEnd w:id="107"/>
      <w:bookmarkEnd w:id="108"/>
    </w:p>
    <w:p w14:paraId="7DE3244F">
      <w:pPr>
        <w:bidi w:val="0"/>
        <w:rPr>
          <w:rFonts w:hint="default"/>
        </w:rPr>
      </w:pPr>
      <w:r>
        <w:rPr>
          <w:rFonts w:hint="default"/>
        </w:rPr>
        <w:t>施工总布置是根据工程特点和施工条件，研究和解决主要工程施工期间所需的各种施工设施在平面上的问题，即正确解决施工地区的空间组织问题，以及在施工总进度规定的期限内完成整个工程的建设任务。根据项目区面积较大，区块相对较分散、施工工期短的特点，故施工设施的</w:t>
      </w:r>
      <w:r>
        <w:rPr>
          <w:rFonts w:hint="eastAsia"/>
          <w:lang w:eastAsia="zh-CN"/>
        </w:rPr>
        <w:t>总体</w:t>
      </w:r>
      <w:r>
        <w:rPr>
          <w:rFonts w:hint="default"/>
        </w:rPr>
        <w:t>布置就是为了方便施工，节省投资。</w:t>
      </w:r>
    </w:p>
    <w:p w14:paraId="12A0A98E">
      <w:pPr>
        <w:pStyle w:val="4"/>
        <w:bidi w:val="0"/>
        <w:rPr>
          <w:rFonts w:hint="default"/>
        </w:rPr>
      </w:pPr>
      <w:bookmarkStart w:id="109" w:name="_Toc14961"/>
      <w:bookmarkStart w:id="110" w:name="_Toc30148"/>
      <w:r>
        <w:rPr>
          <w:rFonts w:hint="eastAsia"/>
          <w:lang w:val="en-US" w:eastAsia="zh-CN"/>
        </w:rPr>
        <w:t xml:space="preserve">5.2.1 </w:t>
      </w:r>
      <w:r>
        <w:rPr>
          <w:rFonts w:hint="default"/>
        </w:rPr>
        <w:t>区内交通</w:t>
      </w:r>
      <w:bookmarkEnd w:id="109"/>
      <w:bookmarkEnd w:id="110"/>
    </w:p>
    <w:p w14:paraId="736A90DB">
      <w:pPr>
        <w:bidi w:val="0"/>
        <w:rPr>
          <w:rFonts w:hint="default"/>
        </w:rPr>
      </w:pPr>
      <w:r>
        <w:rPr>
          <w:rFonts w:hint="default"/>
        </w:rPr>
        <w:t>场内交通运输方式取决于对外交通方式、运输量、施工场地地形条件和施工场地的布置。区内交通设计应结合施工总平面布置，在线路规划上，应尽量利用现有线路，现有线路不满足运输要求时，适当增加交通线路。由于此次项目工程内容简单，施工运输强度相对较小，因此规划交通线路应结合土地平整和规划田间道进行。路面设计为土路，并安装荷载等级和运输强度进行道路平面校核，施工完成后，再按照设计要求铺设路面材料。</w:t>
      </w:r>
    </w:p>
    <w:p w14:paraId="5D44B6CC">
      <w:pPr>
        <w:pStyle w:val="4"/>
        <w:bidi w:val="0"/>
        <w:rPr>
          <w:rFonts w:hint="default"/>
        </w:rPr>
      </w:pPr>
      <w:bookmarkStart w:id="111" w:name="_Toc10687"/>
      <w:bookmarkStart w:id="112" w:name="_Toc24314"/>
      <w:r>
        <w:rPr>
          <w:rFonts w:hint="eastAsia"/>
          <w:lang w:val="en-US" w:eastAsia="zh-CN"/>
        </w:rPr>
        <w:t xml:space="preserve">5.2.2 </w:t>
      </w:r>
      <w:r>
        <w:rPr>
          <w:rFonts w:hint="default"/>
        </w:rPr>
        <w:t>生产、生活区域</w:t>
      </w:r>
      <w:bookmarkEnd w:id="111"/>
      <w:bookmarkEnd w:id="112"/>
    </w:p>
    <w:p w14:paraId="28910173">
      <w:pPr>
        <w:pStyle w:val="5"/>
        <w:bidi w:val="0"/>
        <w:rPr>
          <w:rFonts w:hint="default"/>
        </w:rPr>
      </w:pPr>
      <w:r>
        <w:rPr>
          <w:rFonts w:hint="eastAsia"/>
          <w:lang w:val="en-US" w:eastAsia="zh-CN"/>
        </w:rPr>
        <w:t xml:space="preserve">5.2.2.1 </w:t>
      </w:r>
      <w:r>
        <w:rPr>
          <w:rFonts w:hint="default"/>
        </w:rPr>
        <w:t>生产性临时设施布置</w:t>
      </w:r>
    </w:p>
    <w:p w14:paraId="3D7070D6">
      <w:pPr>
        <w:bidi w:val="0"/>
        <w:rPr>
          <w:rFonts w:hint="default"/>
        </w:rPr>
      </w:pPr>
      <w:r>
        <w:rPr>
          <w:rFonts w:hint="default"/>
        </w:rPr>
        <w:t>施工现场生产临时性设施包括两方面的内容，一是工地临时仓库，如水泥、砂、石的堆场；二是加工场（站），如混凝土拌和站、钢筋混凝土预制厂、木加工厂、模板加工厂等。工地临时仓库和加工厂（站），均可以按照建筑面积计算，临时建筑的结构型式，应根据使用期限以及当地条件而定</w:t>
      </w:r>
      <w:r>
        <w:rPr>
          <w:rFonts w:hint="eastAsia"/>
          <w:lang w:eastAsia="zh-CN"/>
        </w:rPr>
        <w:t>，</w:t>
      </w:r>
      <w:r>
        <w:rPr>
          <w:rFonts w:hint="default"/>
        </w:rPr>
        <w:t>采用竹木结构简易建筑。</w:t>
      </w:r>
    </w:p>
    <w:p w14:paraId="75F5764D">
      <w:pPr>
        <w:pStyle w:val="5"/>
        <w:bidi w:val="0"/>
        <w:rPr>
          <w:rFonts w:hint="default"/>
        </w:rPr>
      </w:pPr>
      <w:r>
        <w:rPr>
          <w:rFonts w:hint="eastAsia"/>
          <w:lang w:val="en-US" w:eastAsia="zh-CN"/>
        </w:rPr>
        <w:t xml:space="preserve">5.2.2.2 </w:t>
      </w:r>
      <w:r>
        <w:rPr>
          <w:rFonts w:hint="default"/>
        </w:rPr>
        <w:t>行政、生活临时建筑</w:t>
      </w:r>
    </w:p>
    <w:p w14:paraId="40567F48">
      <w:pPr>
        <w:bidi w:val="0"/>
        <w:rPr>
          <w:rFonts w:hint="default"/>
        </w:rPr>
      </w:pPr>
      <w:r>
        <w:rPr>
          <w:rFonts w:hint="default"/>
        </w:rPr>
        <w:t>确定这类临时建筑，应尽量利用施工现场及其附近的原有房屋，或提前修建可持续利用的永久性工程为施工生产服务，不足部分再修建临时房屋。</w:t>
      </w:r>
    </w:p>
    <w:p w14:paraId="10774C80">
      <w:pPr>
        <w:pStyle w:val="4"/>
        <w:bidi w:val="0"/>
        <w:rPr>
          <w:rFonts w:hint="default"/>
        </w:rPr>
      </w:pPr>
      <w:bookmarkStart w:id="113" w:name="_Toc22074"/>
      <w:bookmarkStart w:id="114" w:name="_Toc30819"/>
      <w:r>
        <w:rPr>
          <w:rFonts w:hint="eastAsia"/>
          <w:lang w:val="en-US" w:eastAsia="zh-CN"/>
        </w:rPr>
        <w:t xml:space="preserve">5.2.3 </w:t>
      </w:r>
      <w:r>
        <w:rPr>
          <w:rFonts w:hint="default"/>
        </w:rPr>
        <w:t>水电线路</w:t>
      </w:r>
      <w:bookmarkEnd w:id="113"/>
      <w:bookmarkEnd w:id="114"/>
    </w:p>
    <w:p w14:paraId="56E44117">
      <w:pPr>
        <w:pStyle w:val="5"/>
        <w:bidi w:val="0"/>
        <w:rPr>
          <w:rFonts w:hint="default"/>
        </w:rPr>
      </w:pPr>
      <w:r>
        <w:rPr>
          <w:rFonts w:hint="eastAsia"/>
          <w:lang w:val="en-US" w:eastAsia="zh-CN"/>
        </w:rPr>
        <w:t xml:space="preserve">5.2.3.1 </w:t>
      </w:r>
      <w:r>
        <w:rPr>
          <w:rFonts w:hint="default"/>
        </w:rPr>
        <w:t>施工用水</w:t>
      </w:r>
    </w:p>
    <w:p w14:paraId="3060FDF5">
      <w:pPr>
        <w:bidi w:val="0"/>
        <w:rPr>
          <w:rFonts w:hint="default"/>
        </w:rPr>
      </w:pPr>
      <w:r>
        <w:rPr>
          <w:rFonts w:hint="default"/>
        </w:rPr>
        <w:t>施工现场需水量，包括施工生产用水、生活用水以及消防用水。</w:t>
      </w:r>
    </w:p>
    <w:p w14:paraId="0E9D90DC">
      <w:pPr>
        <w:bidi w:val="0"/>
        <w:rPr>
          <w:rFonts w:hint="default"/>
        </w:rPr>
      </w:pPr>
      <w:r>
        <w:rPr>
          <w:rFonts w:hint="default"/>
        </w:rPr>
        <w:t>施工生产用水量根据不同工程的施工用水定额确定，施工机械用水量根据不同机械台班用水定额确定，施工现场生活用水根据施工高峰期昼夜人数和生活用水定额确定，生活区生活用水量根据生活区居民人数和用水定额确定，消防用水根据用水类型和用水量确定。</w:t>
      </w:r>
    </w:p>
    <w:p w14:paraId="65CEC42D">
      <w:pPr>
        <w:bidi w:val="0"/>
        <w:rPr>
          <w:rFonts w:hint="default"/>
        </w:rPr>
      </w:pPr>
      <w:r>
        <w:rPr>
          <w:rFonts w:hint="default"/>
        </w:rPr>
        <w:t>施工现场临时供水水源，应尽量利用附近的现有给水管网，仅当施工现场附近缺少现成的给水管线，或无法利用时，才另选天然水源。天然水源可选用地表水（如江河、湖泊、人工水库等）、地下水（如井水）。临时给水系布置时，应合理连接水源点和供水点，并确保线路最短。</w:t>
      </w:r>
    </w:p>
    <w:p w14:paraId="658BE454">
      <w:pPr>
        <w:pStyle w:val="5"/>
        <w:bidi w:val="0"/>
        <w:rPr>
          <w:rFonts w:hint="default"/>
        </w:rPr>
      </w:pPr>
      <w:r>
        <w:rPr>
          <w:rFonts w:hint="eastAsia"/>
          <w:lang w:val="en-US" w:eastAsia="zh-CN"/>
        </w:rPr>
        <w:t xml:space="preserve">5.2.3.2 </w:t>
      </w:r>
      <w:r>
        <w:rPr>
          <w:rFonts w:hint="default"/>
        </w:rPr>
        <w:t>施工用电</w:t>
      </w:r>
    </w:p>
    <w:p w14:paraId="7A66D1C1">
      <w:pPr>
        <w:bidi w:val="0"/>
        <w:rPr>
          <w:rFonts w:hint="default"/>
        </w:rPr>
      </w:pPr>
      <w:bookmarkStart w:id="115" w:name="_Toc11841"/>
      <w:r>
        <w:rPr>
          <w:rFonts w:hint="default"/>
        </w:rPr>
        <w:t>施工用电主要为砼拌和、砼振捣、钢筋及钢结构制作安装、施工现场照明和施工生活等用电。项目区内有10KV高压线、380V低压线路输配线路通过，高、低压电力配套完备，供应充足。项目区电力供应正常，可以满足项目施工的电力需求。</w:t>
      </w:r>
    </w:p>
    <w:p w14:paraId="086BE78F">
      <w:pPr>
        <w:pStyle w:val="4"/>
        <w:bidi w:val="0"/>
        <w:rPr>
          <w:rFonts w:hint="default"/>
        </w:rPr>
      </w:pPr>
      <w:bookmarkStart w:id="116" w:name="_Toc22979"/>
      <w:r>
        <w:rPr>
          <w:rFonts w:hint="eastAsia"/>
          <w:lang w:val="en-US" w:eastAsia="zh-CN"/>
        </w:rPr>
        <w:t xml:space="preserve">5.2.4 </w:t>
      </w:r>
      <w:r>
        <w:rPr>
          <w:rFonts w:hint="default"/>
        </w:rPr>
        <w:t>建筑材料与废料</w:t>
      </w:r>
      <w:bookmarkEnd w:id="115"/>
      <w:r>
        <w:rPr>
          <w:rFonts w:hint="default"/>
        </w:rPr>
        <w:t>处理</w:t>
      </w:r>
      <w:bookmarkEnd w:id="116"/>
      <w:r>
        <w:rPr>
          <w:rFonts w:hint="default"/>
        </w:rPr>
        <w:t xml:space="preserve"> </w:t>
      </w:r>
    </w:p>
    <w:p w14:paraId="0C6E675C">
      <w:pPr>
        <w:bidi w:val="0"/>
        <w:rPr>
          <w:rFonts w:hint="default"/>
        </w:rPr>
      </w:pPr>
      <w:r>
        <w:rPr>
          <w:rFonts w:hint="default"/>
        </w:rPr>
        <w:t>施工用建筑材料，除水泥、钢筋、木材外，均可露天堆放的砂、石等建筑材料，应分类堆放</w:t>
      </w:r>
      <w:r>
        <w:rPr>
          <w:rFonts w:hint="eastAsia"/>
          <w:lang w:eastAsia="zh-CN"/>
        </w:rPr>
        <w:t>在</w:t>
      </w:r>
      <w:r>
        <w:rPr>
          <w:rFonts w:hint="default"/>
        </w:rPr>
        <w:t>地势较高的位置，并靠近建筑物施工场地，减少建筑物资二次转运。为做好建筑材料堆放场的防洪排水工作，应在堆场四周开挖水沟，排放雨水产生的积涝和洪水。</w:t>
      </w:r>
    </w:p>
    <w:p w14:paraId="325F0C87">
      <w:pPr>
        <w:bidi w:val="0"/>
        <w:rPr>
          <w:rFonts w:hint="default"/>
        </w:rPr>
      </w:pPr>
      <w:r>
        <w:rPr>
          <w:rFonts w:hint="default"/>
        </w:rPr>
        <w:t>施工后废弃的垃圾包括两方面：一是原建筑材料的剩余，如石子、砂、水泥等；二是建筑衍生品的剩余，如混凝土、砂浆、弃土等。废弃物的处理方法为按规定运送到指定位置掩埋，对于可回收利用的建筑材料进行回收利用。</w:t>
      </w:r>
    </w:p>
    <w:p w14:paraId="766F8C89">
      <w:pPr>
        <w:pStyle w:val="4"/>
        <w:bidi w:val="0"/>
        <w:rPr>
          <w:rFonts w:hint="default"/>
        </w:rPr>
      </w:pPr>
      <w:bookmarkStart w:id="117" w:name="_Toc9454"/>
      <w:r>
        <w:rPr>
          <w:rFonts w:hint="eastAsia"/>
          <w:lang w:val="en-US" w:eastAsia="zh-CN"/>
        </w:rPr>
        <w:t xml:space="preserve">5.2.5 </w:t>
      </w:r>
      <w:r>
        <w:rPr>
          <w:rFonts w:hint="default"/>
        </w:rPr>
        <w:t>高标准农田施工前后比对照片拍摄</w:t>
      </w:r>
      <w:bookmarkEnd w:id="117"/>
      <w:r>
        <w:rPr>
          <w:rFonts w:hint="default"/>
        </w:rPr>
        <w:t xml:space="preserve"> </w:t>
      </w:r>
    </w:p>
    <w:p w14:paraId="22150450">
      <w:pPr>
        <w:bidi w:val="0"/>
        <w:rPr>
          <w:rFonts w:hint="default"/>
        </w:rPr>
      </w:pPr>
      <w:r>
        <w:rPr>
          <w:rFonts w:hint="default"/>
        </w:rPr>
        <w:t>在施工过程中，要保留好施工前、施工后的对比照片，拍摄比对照片主要</w:t>
      </w:r>
      <w:r>
        <w:rPr>
          <w:rFonts w:hint="eastAsia"/>
          <w:lang w:eastAsia="zh-CN"/>
        </w:rPr>
        <w:t>目的是</w:t>
      </w:r>
      <w:r>
        <w:rPr>
          <w:rFonts w:hint="default"/>
        </w:rPr>
        <w:t>对高标准农田建设内容进行核实，应按以下要求拍摄：</w:t>
      </w:r>
    </w:p>
    <w:p w14:paraId="217F31B1">
      <w:pPr>
        <w:bidi w:val="0"/>
        <w:rPr>
          <w:rFonts w:hint="default"/>
        </w:rPr>
      </w:pPr>
      <w:r>
        <w:rPr>
          <w:rFonts w:hint="eastAsia"/>
          <w:lang w:eastAsia="zh-CN"/>
        </w:rPr>
        <w:t>（</w:t>
      </w:r>
      <w:r>
        <w:rPr>
          <w:rFonts w:hint="eastAsia"/>
          <w:lang w:val="en-US" w:eastAsia="zh-CN"/>
        </w:rPr>
        <w:t>1</w:t>
      </w:r>
      <w:r>
        <w:rPr>
          <w:rFonts w:hint="eastAsia"/>
          <w:lang w:eastAsia="zh-CN"/>
        </w:rPr>
        <w:t>）</w:t>
      </w:r>
      <w:r>
        <w:rPr>
          <w:rFonts w:hint="default"/>
        </w:rPr>
        <w:t>要多点拍摄。路、渠、沟、输电线等线状工程交汇处应有拍摄点；渠系建筑物、配电站等点状工程处应有拍摄点；田块等面状工程转角处应有拍摄点。</w:t>
      </w:r>
    </w:p>
    <w:p w14:paraId="3FD201CE">
      <w:pPr>
        <w:bidi w:val="0"/>
        <w:rPr>
          <w:rFonts w:hint="default"/>
        </w:rPr>
      </w:pPr>
      <w:r>
        <w:rPr>
          <w:rFonts w:hint="eastAsia"/>
          <w:lang w:eastAsia="zh-CN"/>
        </w:rPr>
        <w:t>（</w:t>
      </w:r>
      <w:r>
        <w:rPr>
          <w:rFonts w:hint="eastAsia"/>
          <w:lang w:val="en-US" w:eastAsia="zh-CN"/>
        </w:rPr>
        <w:t>2）</w:t>
      </w:r>
      <w:r>
        <w:rPr>
          <w:rFonts w:hint="default"/>
        </w:rPr>
        <w:t>多角度拍摄。每个拍摄点应拍摄四张照片，正东</w:t>
      </w:r>
      <w:r>
        <w:rPr>
          <w:rFonts w:hint="eastAsia"/>
          <w:lang w:eastAsia="zh-CN"/>
        </w:rPr>
        <w:t>（</w:t>
      </w:r>
      <w:r>
        <w:rPr>
          <w:rFonts w:hint="default"/>
        </w:rPr>
        <w:t>E</w:t>
      </w:r>
      <w:r>
        <w:rPr>
          <w:rFonts w:hint="eastAsia"/>
          <w:lang w:eastAsia="zh-CN"/>
        </w:rPr>
        <w:t>）</w:t>
      </w:r>
      <w:r>
        <w:rPr>
          <w:rFonts w:hint="default"/>
        </w:rPr>
        <w:t>、正南</w:t>
      </w:r>
      <w:r>
        <w:rPr>
          <w:rFonts w:hint="eastAsia"/>
          <w:lang w:eastAsia="zh-CN"/>
        </w:rPr>
        <w:t>（</w:t>
      </w:r>
      <w:r>
        <w:rPr>
          <w:rFonts w:hint="default"/>
        </w:rPr>
        <w:t>S</w:t>
      </w:r>
      <w:r>
        <w:rPr>
          <w:rFonts w:hint="eastAsia"/>
          <w:lang w:eastAsia="zh-CN"/>
        </w:rPr>
        <w:t>）</w:t>
      </w:r>
      <w:r>
        <w:rPr>
          <w:rFonts w:hint="default"/>
        </w:rPr>
        <w:t>、正西</w:t>
      </w:r>
      <w:r>
        <w:rPr>
          <w:rFonts w:hint="eastAsia"/>
          <w:lang w:eastAsia="zh-CN"/>
        </w:rPr>
        <w:t>（</w:t>
      </w:r>
      <w:r>
        <w:rPr>
          <w:rFonts w:hint="default"/>
        </w:rPr>
        <w:t>W</w:t>
      </w:r>
      <w:r>
        <w:rPr>
          <w:rFonts w:hint="eastAsia"/>
          <w:lang w:eastAsia="zh-CN"/>
        </w:rPr>
        <w:t>）</w:t>
      </w:r>
      <w:r>
        <w:rPr>
          <w:rFonts w:hint="default"/>
        </w:rPr>
        <w:t>、正北</w:t>
      </w:r>
      <w:r>
        <w:rPr>
          <w:rFonts w:hint="eastAsia"/>
          <w:lang w:eastAsia="zh-CN"/>
        </w:rPr>
        <w:t>（</w:t>
      </w:r>
      <w:r>
        <w:rPr>
          <w:rFonts w:hint="default"/>
        </w:rPr>
        <w:t>N</w:t>
      </w:r>
      <w:r>
        <w:rPr>
          <w:rFonts w:hint="eastAsia"/>
          <w:lang w:eastAsia="zh-CN"/>
        </w:rPr>
        <w:t>）</w:t>
      </w:r>
      <w:r>
        <w:rPr>
          <w:rFonts w:hint="default"/>
        </w:rPr>
        <w:t>四个方向各拍一张。</w:t>
      </w:r>
    </w:p>
    <w:p w14:paraId="18EC3D62">
      <w:pPr>
        <w:bidi w:val="0"/>
        <w:rPr>
          <w:rFonts w:hint="default"/>
        </w:rPr>
      </w:pPr>
      <w:r>
        <w:rPr>
          <w:rFonts w:hint="eastAsia"/>
          <w:lang w:eastAsia="zh-CN"/>
        </w:rPr>
        <w:t>（</w:t>
      </w:r>
      <w:r>
        <w:rPr>
          <w:rFonts w:hint="eastAsia"/>
          <w:lang w:val="en-US" w:eastAsia="zh-CN"/>
        </w:rPr>
        <w:t>3）</w:t>
      </w:r>
      <w:r>
        <w:rPr>
          <w:rFonts w:hint="default"/>
        </w:rPr>
        <w:t>定点拍摄。建设前后的拍摄位置应固定，并用GPS记录拍摄点的经纬度信息</w:t>
      </w:r>
      <w:r>
        <w:rPr>
          <w:rFonts w:hint="eastAsia"/>
          <w:lang w:eastAsia="zh-CN"/>
        </w:rPr>
        <w:t>（</w:t>
      </w:r>
      <w:r>
        <w:rPr>
          <w:rFonts w:hint="default"/>
        </w:rPr>
        <w:t>手机下载GPS定位软件进行定位就可以</w:t>
      </w:r>
      <w:r>
        <w:rPr>
          <w:rFonts w:hint="eastAsia"/>
          <w:lang w:eastAsia="zh-CN"/>
        </w:rPr>
        <w:t>）</w:t>
      </w:r>
      <w:r>
        <w:rPr>
          <w:rFonts w:hint="default"/>
        </w:rPr>
        <w:t>。</w:t>
      </w:r>
    </w:p>
    <w:p w14:paraId="2C8DDD6D">
      <w:pPr>
        <w:bidi w:val="0"/>
        <w:rPr>
          <w:rFonts w:hint="default"/>
        </w:rPr>
      </w:pPr>
      <w:r>
        <w:rPr>
          <w:rFonts w:hint="eastAsia"/>
          <w:lang w:eastAsia="zh-CN"/>
        </w:rPr>
        <w:t>（</w:t>
      </w:r>
      <w:r>
        <w:rPr>
          <w:rFonts w:hint="eastAsia"/>
          <w:lang w:val="en-US" w:eastAsia="zh-CN"/>
        </w:rPr>
        <w:t>4</w:t>
      </w:r>
      <w:r>
        <w:rPr>
          <w:rFonts w:hint="eastAsia"/>
          <w:lang w:eastAsia="zh-CN"/>
        </w:rPr>
        <w:t>）</w:t>
      </w:r>
      <w:r>
        <w:rPr>
          <w:rFonts w:hint="default"/>
        </w:rPr>
        <w:t>要全景与特写结合。线状、面状工程应拍摄全景照片，点状工程应拍摄特写照片。</w:t>
      </w:r>
    </w:p>
    <w:p w14:paraId="1CBB4534">
      <w:pPr>
        <w:bidi w:val="0"/>
        <w:rPr>
          <w:rFonts w:hint="default"/>
        </w:rPr>
      </w:pPr>
      <w:r>
        <w:rPr>
          <w:rFonts w:hint="eastAsia"/>
          <w:lang w:eastAsia="zh-CN"/>
        </w:rPr>
        <w:t>（</w:t>
      </w:r>
      <w:r>
        <w:rPr>
          <w:rFonts w:hint="eastAsia"/>
          <w:lang w:val="en-US" w:eastAsia="zh-CN"/>
        </w:rPr>
        <w:t>5）</w:t>
      </w:r>
      <w:r>
        <w:rPr>
          <w:rFonts w:hint="default"/>
        </w:rPr>
        <w:t>规范拍摄。照片统一采用16:9比例进行横拍，图片格式为JPG格式，像素不低于2014×1152 PPI，图片清晰可辨。</w:t>
      </w:r>
    </w:p>
    <w:p w14:paraId="7E53F7A4">
      <w:pPr>
        <w:bidi w:val="0"/>
        <w:rPr>
          <w:rFonts w:hint="default"/>
        </w:rPr>
      </w:pPr>
      <w:r>
        <w:rPr>
          <w:rFonts w:hint="eastAsia"/>
          <w:lang w:eastAsia="zh-CN"/>
        </w:rPr>
        <w:t>（</w:t>
      </w:r>
      <w:r>
        <w:rPr>
          <w:rFonts w:hint="eastAsia"/>
          <w:lang w:val="en-US" w:eastAsia="zh-CN"/>
        </w:rPr>
        <w:t>6</w:t>
      </w:r>
      <w:r>
        <w:rPr>
          <w:rFonts w:hint="eastAsia"/>
          <w:lang w:eastAsia="zh-CN"/>
        </w:rPr>
        <w:t>）</w:t>
      </w:r>
      <w:r>
        <w:rPr>
          <w:rFonts w:hint="default"/>
        </w:rPr>
        <w:t>要规范命名。照片采用</w:t>
      </w:r>
      <w:r>
        <w:rPr>
          <w:rFonts w:hint="eastAsia"/>
          <w:lang w:eastAsia="zh-CN"/>
        </w:rPr>
        <w:t>“</w:t>
      </w:r>
      <w:r>
        <w:rPr>
          <w:rFonts w:hint="default"/>
        </w:rPr>
        <w:t>拍摄时间代码（前Q、后H）+县级行政区划代码（361024）+2位标段片区代码（01--12）+3位拍摄点位置代码（按方位顺序编号001--999）+1个字段方位代码（正东</w:t>
      </w:r>
      <w:r>
        <w:rPr>
          <w:rFonts w:hint="eastAsia"/>
          <w:lang w:eastAsia="zh-CN"/>
        </w:rPr>
        <w:t>（</w:t>
      </w:r>
      <w:r>
        <w:rPr>
          <w:rFonts w:hint="default"/>
        </w:rPr>
        <w:t>E</w:t>
      </w:r>
      <w:r>
        <w:rPr>
          <w:rFonts w:hint="eastAsia"/>
          <w:lang w:eastAsia="zh-CN"/>
        </w:rPr>
        <w:t>）</w:t>
      </w:r>
      <w:r>
        <w:rPr>
          <w:rFonts w:hint="default"/>
        </w:rPr>
        <w:t>、正南</w:t>
      </w:r>
      <w:r>
        <w:rPr>
          <w:rFonts w:hint="eastAsia"/>
          <w:lang w:eastAsia="zh-CN"/>
        </w:rPr>
        <w:t>（</w:t>
      </w:r>
      <w:r>
        <w:rPr>
          <w:rFonts w:hint="default"/>
        </w:rPr>
        <w:t>S</w:t>
      </w:r>
      <w:r>
        <w:rPr>
          <w:rFonts w:hint="eastAsia"/>
          <w:lang w:eastAsia="zh-CN"/>
        </w:rPr>
        <w:t>）</w:t>
      </w:r>
      <w:r>
        <w:rPr>
          <w:rFonts w:hint="default"/>
        </w:rPr>
        <w:t>、正西</w:t>
      </w:r>
      <w:r>
        <w:rPr>
          <w:rFonts w:hint="eastAsia"/>
          <w:lang w:eastAsia="zh-CN"/>
        </w:rPr>
        <w:t>（</w:t>
      </w:r>
      <w:r>
        <w:rPr>
          <w:rFonts w:hint="default"/>
        </w:rPr>
        <w:t>W</w:t>
      </w:r>
      <w:r>
        <w:rPr>
          <w:rFonts w:hint="eastAsia"/>
          <w:lang w:eastAsia="zh-CN"/>
        </w:rPr>
        <w:t>）</w:t>
      </w:r>
      <w:r>
        <w:rPr>
          <w:rFonts w:hint="default"/>
        </w:rPr>
        <w:t>、正北</w:t>
      </w:r>
      <w:r>
        <w:rPr>
          <w:rFonts w:hint="eastAsia"/>
          <w:lang w:eastAsia="zh-CN"/>
        </w:rPr>
        <w:t>（</w:t>
      </w:r>
      <w:r>
        <w:rPr>
          <w:rFonts w:hint="default"/>
        </w:rPr>
        <w:t>N</w:t>
      </w:r>
      <w:r>
        <w:rPr>
          <w:rFonts w:hint="eastAsia"/>
          <w:lang w:eastAsia="zh-CN"/>
        </w:rPr>
        <w:t>）</w:t>
      </w:r>
      <w:r>
        <w:rPr>
          <w:rFonts w:hint="default"/>
        </w:rPr>
        <w:t>）</w:t>
      </w:r>
      <w:r>
        <w:rPr>
          <w:rFonts w:hint="eastAsia"/>
          <w:lang w:eastAsia="zh-CN"/>
        </w:rPr>
        <w:t>”</w:t>
      </w:r>
      <w:r>
        <w:rPr>
          <w:rFonts w:hint="default"/>
        </w:rPr>
        <w:t xml:space="preserve"> 13位代码进行规范命名，进行规范命名。</w:t>
      </w:r>
    </w:p>
    <w:p w14:paraId="258D73E1">
      <w:pPr>
        <w:pStyle w:val="3"/>
        <w:bidi w:val="0"/>
        <w:rPr>
          <w:rFonts w:hint="default"/>
        </w:rPr>
      </w:pPr>
      <w:bookmarkStart w:id="118" w:name="_Toc24931"/>
      <w:bookmarkStart w:id="119" w:name="_Toc403988773"/>
      <w:bookmarkStart w:id="120" w:name="_Toc11719"/>
      <w:bookmarkStart w:id="121" w:name="_Toc18095"/>
      <w:bookmarkStart w:id="122" w:name="_Toc488607857"/>
      <w:bookmarkStart w:id="123" w:name="_Toc32199"/>
      <w:bookmarkStart w:id="124" w:name="_Toc10629"/>
      <w:bookmarkStart w:id="125" w:name="_Toc8598"/>
      <w:bookmarkStart w:id="126" w:name="_Toc12281"/>
      <w:bookmarkStart w:id="127" w:name="_Toc84688383"/>
      <w:bookmarkStart w:id="128" w:name="_Toc3691"/>
      <w:r>
        <w:rPr>
          <w:rFonts w:hint="eastAsia"/>
          <w:lang w:val="en-US" w:eastAsia="zh-CN"/>
        </w:rPr>
        <w:t xml:space="preserve">5.3 </w:t>
      </w:r>
      <w:r>
        <w:rPr>
          <w:rFonts w:hint="default"/>
        </w:rPr>
        <w:t>主要工程施工方法</w:t>
      </w:r>
      <w:bookmarkEnd w:id="118"/>
      <w:bookmarkEnd w:id="119"/>
      <w:bookmarkEnd w:id="120"/>
      <w:bookmarkEnd w:id="121"/>
      <w:bookmarkEnd w:id="122"/>
      <w:bookmarkEnd w:id="123"/>
      <w:bookmarkEnd w:id="124"/>
      <w:bookmarkEnd w:id="125"/>
      <w:bookmarkEnd w:id="126"/>
      <w:bookmarkEnd w:id="127"/>
      <w:bookmarkEnd w:id="128"/>
    </w:p>
    <w:p w14:paraId="285802AF">
      <w:pPr>
        <w:pStyle w:val="4"/>
        <w:bidi w:val="0"/>
        <w:rPr>
          <w:rFonts w:hint="default"/>
        </w:rPr>
      </w:pPr>
      <w:bookmarkStart w:id="129" w:name="_Toc14236"/>
      <w:bookmarkStart w:id="130" w:name="_Toc488607858"/>
      <w:bookmarkStart w:id="131" w:name="_Toc23010"/>
      <w:bookmarkStart w:id="132" w:name="_Toc403988774"/>
      <w:r>
        <w:rPr>
          <w:rFonts w:hint="eastAsia"/>
          <w:lang w:val="en-US" w:eastAsia="zh-CN"/>
        </w:rPr>
        <w:t xml:space="preserve">5.3.1 </w:t>
      </w:r>
      <w:r>
        <w:rPr>
          <w:rFonts w:hint="default"/>
        </w:rPr>
        <w:t>土方工程施工</w:t>
      </w:r>
      <w:bookmarkEnd w:id="129"/>
      <w:bookmarkEnd w:id="130"/>
      <w:bookmarkEnd w:id="131"/>
      <w:bookmarkEnd w:id="132"/>
    </w:p>
    <w:p w14:paraId="1A9C781D">
      <w:pPr>
        <w:bidi w:val="0"/>
        <w:rPr>
          <w:rFonts w:hint="default"/>
          <w:b/>
          <w:bCs/>
        </w:rPr>
      </w:pPr>
      <w:r>
        <w:rPr>
          <w:rFonts w:hint="default"/>
          <w:b/>
          <w:bCs/>
        </w:rPr>
        <w:t>田埂施工</w:t>
      </w:r>
    </w:p>
    <w:p w14:paraId="27098A6E">
      <w:pPr>
        <w:bidi w:val="0"/>
        <w:rPr>
          <w:rFonts w:hint="default"/>
        </w:rPr>
      </w:pPr>
      <w:r>
        <w:rPr>
          <w:rFonts w:hint="default"/>
        </w:rPr>
        <w:t>表土恢复经监理验收合格后，按设计要求进行田埂施工；田埂夯筑要顺直，防止漏水，在田埂内侧用粘性土涂抹夯实，放水试蓄。田埂外侧应选择粘性较强的土壤，逐层压实后修坡，拍打结实。</w:t>
      </w:r>
    </w:p>
    <w:p w14:paraId="008D8AFF">
      <w:pPr>
        <w:pStyle w:val="5"/>
        <w:bidi w:val="0"/>
        <w:rPr>
          <w:rFonts w:hint="default" w:ascii="Times New Roman" w:hAnsi="Times New Roman" w:cs="Times New Roman"/>
          <w:b/>
          <w:bCs/>
          <w:color w:val="auto"/>
          <w:kern w:val="2"/>
          <w:sz w:val="28"/>
          <w:szCs w:val="40"/>
        </w:rPr>
      </w:pPr>
      <w:r>
        <w:rPr>
          <w:rFonts w:hint="eastAsia" w:cs="Times New Roman"/>
          <w:b/>
          <w:bCs/>
          <w:color w:val="auto"/>
          <w:kern w:val="2"/>
          <w:sz w:val="28"/>
          <w:szCs w:val="40"/>
          <w:lang w:val="en-US" w:eastAsia="zh-CN"/>
        </w:rPr>
        <w:t xml:space="preserve">5.3.1.1 </w:t>
      </w:r>
      <w:r>
        <w:rPr>
          <w:rFonts w:hint="default" w:ascii="Times New Roman" w:hAnsi="Times New Roman" w:cs="Times New Roman"/>
          <w:b/>
          <w:bCs/>
          <w:color w:val="auto"/>
          <w:kern w:val="2"/>
          <w:sz w:val="28"/>
          <w:szCs w:val="40"/>
        </w:rPr>
        <w:t>农田水利工程中土方工程</w:t>
      </w:r>
    </w:p>
    <w:p w14:paraId="72472EA5">
      <w:pPr>
        <w:bidi w:val="0"/>
        <w:rPr>
          <w:rFonts w:hint="default"/>
        </w:rPr>
      </w:pPr>
      <w:r>
        <w:rPr>
          <w:rFonts w:hint="default"/>
        </w:rPr>
        <w:t>包括沟、渠道、建筑物、道路等工程的开挖回填。</w:t>
      </w:r>
    </w:p>
    <w:p w14:paraId="403542E5">
      <w:pPr>
        <w:bidi w:val="0"/>
        <w:rPr>
          <w:rFonts w:hint="default"/>
        </w:rPr>
      </w:pPr>
      <w:r>
        <w:rPr>
          <w:rFonts w:hint="default"/>
        </w:rPr>
        <w:t>土方开挖工作内容包括：准备工作、场地清理、施工期排水、边坡观测、完工验收前的维护以及将开挖可利用或废弃的土方运至监理人指定的堆放区并加以保护、处理等工作。土方开挖主要采用</w:t>
      </w:r>
      <w:r>
        <w:rPr>
          <w:rFonts w:hint="eastAsia"/>
          <w:lang w:val="en-US" w:eastAsia="zh-CN"/>
        </w:rPr>
        <w:t>1.0</w:t>
      </w:r>
      <w:r>
        <w:rPr>
          <w:rFonts w:hint="default"/>
        </w:rPr>
        <w:t>m</w:t>
      </w:r>
      <w:r>
        <w:rPr>
          <w:rFonts w:hint="default"/>
          <w:vertAlign w:val="superscript"/>
        </w:rPr>
        <w:t>3</w:t>
      </w:r>
      <w:r>
        <w:rPr>
          <w:rFonts w:hint="default"/>
        </w:rPr>
        <w:t>挖掘机进行土方开挖，自卸车运输，人工修坡。开挖土料先用于自身回填，多余土料由自卸车运于周边道路进行路基填筑。开挖深度小于3.0m的可一次性开挖，大于3.0m的应由上而下分层开挖。</w:t>
      </w:r>
    </w:p>
    <w:p w14:paraId="5BFC2393">
      <w:pPr>
        <w:bidi w:val="0"/>
        <w:rPr>
          <w:rFonts w:hint="default"/>
        </w:rPr>
      </w:pPr>
      <w:r>
        <w:rPr>
          <w:rFonts w:hint="default"/>
        </w:rPr>
        <w:t>土方回填工作内容包括：土石料物平衡、运输、各种土料（含土地平整土料、主灌溉渠护砌、田间道路路面工程等）的基础土方的填筑、夯实碾压和接缝处理；排水设施和护砌以及各项工作内容的质量检查和验收等。填筑土料可利用自身开挖土料，人工配合推土机摊铺平料，采用小型蛙夯机、气胎碾或振动碾分层压实，机械碾压不到的地方，配合人工夯实。填筑前，现场先清基削坡，刨毛洒水，新老结合面必须先疏松土层，并清除表面杂草，而后自下而上，分层铺土填筑，分层土厚以不大于0.3m为宜，或由现场实验确定，压实度不小于0.</w:t>
      </w:r>
      <w:r>
        <w:rPr>
          <w:rFonts w:hint="eastAsia"/>
          <w:lang w:val="en-US" w:eastAsia="zh-CN"/>
        </w:rPr>
        <w:t>9</w:t>
      </w:r>
      <w:r>
        <w:rPr>
          <w:rFonts w:hint="default"/>
        </w:rPr>
        <w:t>。应经常对料场的土质情况进行检查，确定土块大小，含水量和杂质含量是否符合上堤要求，出现情况，应及时进行处理。正式填筑前，应按所选定的施工机械安排压实试验，通过试验选定铺土厚度，含水量的适宜范围，压实方法及压实遍数。</w:t>
      </w:r>
    </w:p>
    <w:p w14:paraId="6D837E25">
      <w:pPr>
        <w:bidi w:val="0"/>
        <w:rPr>
          <w:rFonts w:hint="default"/>
        </w:rPr>
      </w:pPr>
      <w:r>
        <w:rPr>
          <w:rFonts w:hint="default"/>
        </w:rPr>
        <w:t>沟渠道土方的开挖、回填由于沟渠道分布分散，可按沟渠分段同时组织施工。沟渠的土方开挖以机械开挖为主人工开挖为辅，沟渠开挖的余土若符合回填土质要求则可用于沟渠两侧培土，若不符合设计要求则不可用于沟渠两侧回填培土，当回填土方不足时可适当外运土方进行沟渠两侧回填培土。当开挖出的土方作为填筑土料时，应采取防雨措施，以防含水量过大，不利回填压实。土方填筑时，应严格控制土料质量，控制含水量和干容重，应按设计规定的标准施工。当开挖出的土方作为弃料处理时，应就近沿渠沟低洼区堆放、摊平</w:t>
      </w:r>
      <w:r>
        <w:rPr>
          <w:rFonts w:hint="eastAsia"/>
          <w:lang w:eastAsia="zh-CN"/>
        </w:rPr>
        <w:t>或</w:t>
      </w:r>
      <w:r>
        <w:rPr>
          <w:rFonts w:hint="default"/>
        </w:rPr>
        <w:t>移至附近需要填筑土料的渠段。</w:t>
      </w:r>
    </w:p>
    <w:p w14:paraId="0524B9D2">
      <w:pPr>
        <w:bidi w:val="0"/>
        <w:rPr>
          <w:rFonts w:hint="default"/>
        </w:rPr>
      </w:pPr>
      <w:r>
        <w:rPr>
          <w:rFonts w:hint="default"/>
        </w:rPr>
        <w:t>项目区各类建筑物开挖时，施工方的施工措施必须保证其原有建筑物的稳定和安全，并尽可能做到不影响其正常使用。</w:t>
      </w:r>
    </w:p>
    <w:p w14:paraId="060CBD8C">
      <w:pPr>
        <w:bidi w:val="0"/>
        <w:rPr>
          <w:rFonts w:hint="default"/>
        </w:rPr>
      </w:pPr>
      <w:r>
        <w:rPr>
          <w:rFonts w:hint="default"/>
        </w:rPr>
        <w:t>在雨季施工中，施工方应有保证基础工程质量和安全施工的技术措施，有效防止雨水冲刷边坡和侵蚀地基土壤。</w:t>
      </w:r>
    </w:p>
    <w:p w14:paraId="619E3DE0">
      <w:pPr>
        <w:bidi w:val="0"/>
        <w:rPr>
          <w:rFonts w:hint="default"/>
        </w:rPr>
      </w:pPr>
      <w:r>
        <w:rPr>
          <w:rFonts w:hint="default"/>
        </w:rPr>
        <w:t>施工方应在每项开挖工程开始前，尽可能结合永久性排水设施的布置，规划好开挖区域内外的临时性排水措施，并在向监理人报送的施工措施计划中详细说明临时性排水措施的内容，提交相应的图纸和资料。为保护开挖边坡免受雨水冲刷，施工方应在边坡开挖前，按设计图纸的要求开挖设置截水沟，并经监理人批准后，在边坡开挖</w:t>
      </w:r>
      <w:r>
        <w:rPr>
          <w:rFonts w:hint="eastAsia"/>
          <w:lang w:eastAsia="zh-CN"/>
        </w:rPr>
        <w:t>予以</w:t>
      </w:r>
      <w:r>
        <w:rPr>
          <w:rFonts w:hint="default"/>
        </w:rPr>
        <w:t>实施。施工方采取的临时排水措施，应注意保护已开挖的永久边坡面及附近建筑物及其基础免受冲刷和侵蚀破坏。</w:t>
      </w:r>
    </w:p>
    <w:p w14:paraId="54C8D9BA">
      <w:pPr>
        <w:pStyle w:val="4"/>
        <w:bidi w:val="0"/>
        <w:rPr>
          <w:rFonts w:hint="default"/>
        </w:rPr>
      </w:pPr>
      <w:bookmarkStart w:id="133" w:name="_Toc498010599"/>
      <w:bookmarkStart w:id="134" w:name="_Toc10069"/>
      <w:bookmarkStart w:id="135" w:name="_Toc2296"/>
      <w:bookmarkStart w:id="136" w:name="_Toc12256"/>
      <w:r>
        <w:rPr>
          <w:rFonts w:hint="eastAsia"/>
          <w:lang w:val="en-US" w:eastAsia="zh-CN"/>
        </w:rPr>
        <w:t xml:space="preserve">5.3.2 </w:t>
      </w:r>
      <w:r>
        <w:rPr>
          <w:rFonts w:hint="default"/>
        </w:rPr>
        <w:t>灌排渠道</w:t>
      </w:r>
      <w:bookmarkEnd w:id="133"/>
      <w:bookmarkEnd w:id="134"/>
      <w:r>
        <w:rPr>
          <w:rFonts w:hint="default"/>
        </w:rPr>
        <w:t>施工</w:t>
      </w:r>
      <w:bookmarkEnd w:id="135"/>
      <w:bookmarkEnd w:id="136"/>
    </w:p>
    <w:p w14:paraId="282245EA">
      <w:pPr>
        <w:bidi w:val="0"/>
        <w:rPr>
          <w:rFonts w:hint="default"/>
        </w:rPr>
      </w:pPr>
      <w:r>
        <w:rPr>
          <w:rFonts w:hint="default"/>
        </w:rPr>
        <w:t>放线：首先进行放线，确定渠沟走向和建筑物位置，对渠沟预期的占地范围进行划定，包括渠沟底坡脚线和开挖线，对控制高程进行预设和检查。渠道测量放线，分为纵向放线和横向放线。纵向放线确定渠沟中心线的平面位置和设置高程控制点。横向放线任务是确定渠沟横断面的空间位置，找出挖填起点，并钉置</w:t>
      </w:r>
      <w:r>
        <w:rPr>
          <w:rFonts w:hint="eastAsia"/>
          <w:lang w:val="en-US" w:eastAsia="zh-CN"/>
        </w:rPr>
        <w:t>边桩</w:t>
      </w:r>
      <w:r>
        <w:rPr>
          <w:rFonts w:hint="default"/>
        </w:rPr>
        <w:t>。</w:t>
      </w:r>
    </w:p>
    <w:p w14:paraId="56A02488">
      <w:pPr>
        <w:bidi w:val="0"/>
        <w:rPr>
          <w:rFonts w:hint="default"/>
        </w:rPr>
      </w:pPr>
      <w:r>
        <w:rPr>
          <w:rFonts w:hint="default"/>
        </w:rPr>
        <w:t>为节省劳力和加快工程进度，对于较大的渠沟工程，在有条件的地方，可采用机械化施工。</w:t>
      </w:r>
    </w:p>
    <w:p w14:paraId="39723C69">
      <w:pPr>
        <w:bidi w:val="0"/>
        <w:rPr>
          <w:rFonts w:hint="default"/>
          <w:b/>
          <w:bCs/>
        </w:rPr>
      </w:pPr>
      <w:r>
        <w:rPr>
          <w:rFonts w:hint="eastAsia"/>
          <w:b/>
          <w:bCs/>
          <w:lang w:val="en-US" w:eastAsia="zh-CN"/>
        </w:rPr>
        <w:t>（1</w:t>
      </w:r>
      <w:r>
        <w:rPr>
          <w:rFonts w:hint="eastAsia"/>
          <w:b/>
          <w:bCs/>
          <w:lang w:eastAsia="zh-CN"/>
        </w:rPr>
        <w:t>）</w:t>
      </w:r>
      <w:r>
        <w:rPr>
          <w:rFonts w:hint="default"/>
          <w:b/>
          <w:bCs/>
        </w:rPr>
        <w:t>机械化开挖土方</w:t>
      </w:r>
    </w:p>
    <w:p w14:paraId="6B98C25B">
      <w:pPr>
        <w:bidi w:val="0"/>
        <w:rPr>
          <w:rFonts w:hint="default"/>
        </w:rPr>
      </w:pPr>
      <w:r>
        <w:rPr>
          <w:rFonts w:hint="default"/>
        </w:rPr>
        <w:t>挖掘机施工：挖掘机施工：挖掘机采用1.0m³单斗液压挖掘机，为避免扰动沟底原土，在挖至离设计标高20cm处采用人工清底至设计标高，严禁超挖。若遇淤质土及时清除并用砂石回填至设计标高。挖出的土方堆置尽量远离沟槽边，余土及时外运。</w:t>
      </w:r>
    </w:p>
    <w:p w14:paraId="1754C07A">
      <w:pPr>
        <w:bidi w:val="0"/>
        <w:rPr>
          <w:rFonts w:hint="default"/>
        </w:rPr>
      </w:pPr>
      <w:r>
        <w:rPr>
          <w:rFonts w:hint="default"/>
        </w:rPr>
        <w:t>本项目渠道采用挖掘机机械开挖，人工配合挖保护层、修边、修坡，胶轮车倒运土。</w:t>
      </w:r>
    </w:p>
    <w:p w14:paraId="210C7EFB">
      <w:pPr>
        <w:bidi w:val="0"/>
        <w:rPr>
          <w:rFonts w:hint="default"/>
          <w:b/>
          <w:bCs/>
        </w:rPr>
      </w:pPr>
      <w:r>
        <w:rPr>
          <w:rFonts w:hint="eastAsia"/>
          <w:b/>
          <w:bCs/>
          <w:lang w:val="en-US" w:eastAsia="zh-CN"/>
        </w:rPr>
        <w:t>（2</w:t>
      </w:r>
      <w:r>
        <w:rPr>
          <w:rFonts w:hint="eastAsia"/>
          <w:b/>
          <w:bCs/>
          <w:lang w:eastAsia="zh-CN"/>
        </w:rPr>
        <w:t>）</w:t>
      </w:r>
      <w:r>
        <w:rPr>
          <w:rFonts w:hint="default"/>
          <w:b/>
          <w:bCs/>
        </w:rPr>
        <w:t>机械化回填土方</w:t>
      </w:r>
    </w:p>
    <w:p w14:paraId="765275EC">
      <w:pPr>
        <w:bidi w:val="0"/>
        <w:rPr>
          <w:rFonts w:hint="default"/>
        </w:rPr>
      </w:pPr>
      <w:r>
        <w:rPr>
          <w:rFonts w:hint="default"/>
        </w:rPr>
        <w:t>填方施工一般是挖掘机挖土、推土机铺土，人工耙平、洒水，以流水作业的方式用小型蛙夯机将土进行碾压、铺平。施工时应注意：</w:t>
      </w:r>
    </w:p>
    <w:p w14:paraId="4CFDCAE4">
      <w:pPr>
        <w:bidi w:val="0"/>
        <w:rPr>
          <w:rFonts w:hint="default"/>
        </w:rPr>
      </w:pPr>
      <w:r>
        <w:rPr>
          <w:rFonts w:hint="default"/>
        </w:rPr>
        <w:t>填筑顺序自下而上，碾压顺序由远而近。</w:t>
      </w:r>
    </w:p>
    <w:p w14:paraId="2E0018ED">
      <w:pPr>
        <w:bidi w:val="0"/>
        <w:rPr>
          <w:rFonts w:hint="default"/>
        </w:rPr>
      </w:pPr>
      <w:r>
        <w:rPr>
          <w:rFonts w:hint="default"/>
        </w:rPr>
        <w:t>控制土料含水量，确保设计干容重。土料含水量过大就无法夯实，土料含水量太少则不宜粘结。不同土料对含水量有不同要求，粘土以</w:t>
      </w:r>
      <w:r>
        <w:rPr>
          <w:rFonts w:hint="eastAsia"/>
          <w:lang w:eastAsia="zh-CN"/>
        </w:rPr>
        <w:t>18%—22%</w:t>
      </w:r>
      <w:r>
        <w:rPr>
          <w:rFonts w:hint="default"/>
        </w:rPr>
        <w:t>为宜，砂壤土为</w:t>
      </w:r>
      <w:r>
        <w:rPr>
          <w:rFonts w:hint="eastAsia"/>
          <w:lang w:eastAsia="zh-CN"/>
        </w:rPr>
        <w:t>17%—18%</w:t>
      </w:r>
      <w:r>
        <w:rPr>
          <w:rFonts w:hint="default"/>
        </w:rPr>
        <w:t>，砂土为</w:t>
      </w:r>
      <w:r>
        <w:rPr>
          <w:rFonts w:hint="eastAsia"/>
          <w:lang w:eastAsia="zh-CN"/>
        </w:rPr>
        <w:t>8%—12%</w:t>
      </w:r>
      <w:r>
        <w:rPr>
          <w:rFonts w:hint="default"/>
        </w:rPr>
        <w:t>。土料干容重能否达到设计要求是渠堤填筑质量控制关键，一般规定渠堤填筑土料的干容重不小于1.55g/cm3。</w:t>
      </w:r>
    </w:p>
    <w:p w14:paraId="24D70A65">
      <w:pPr>
        <w:bidi w:val="0"/>
        <w:rPr>
          <w:rFonts w:hint="default"/>
        </w:rPr>
      </w:pPr>
      <w:r>
        <w:rPr>
          <w:rFonts w:hint="default"/>
        </w:rPr>
        <w:t>渠道夯实常用小型夯实机械，蛙式夯实机是目前广泛使用的小型夯实机。使用蛙式夯实机应保证规定的起跳高度，并使其平稳下落，夯于夯、排与排间应套打，套打宽度为10</w:t>
      </w:r>
      <w:r>
        <w:rPr>
          <w:rFonts w:hint="eastAsia"/>
          <w:lang w:eastAsia="zh-CN"/>
        </w:rPr>
        <w:t>—</w:t>
      </w:r>
      <w:r>
        <w:rPr>
          <w:rFonts w:hint="default"/>
        </w:rPr>
        <w:t>15cm。</w:t>
      </w:r>
    </w:p>
    <w:p w14:paraId="2F09AE51">
      <w:pPr>
        <w:bidi w:val="0"/>
        <w:rPr>
          <w:rFonts w:hint="default"/>
        </w:rPr>
      </w:pPr>
      <w:r>
        <w:rPr>
          <w:rFonts w:hint="default"/>
        </w:rPr>
        <w:t>雨季施工应特别注意防水。填方表面做成鱼脊形，雨后注意清除积水和软土。填筑质量由专人负责。负责人跟班检查，并定期提出质量报告。</w:t>
      </w:r>
    </w:p>
    <w:p w14:paraId="7421151B">
      <w:pPr>
        <w:bidi w:val="0"/>
        <w:rPr>
          <w:rFonts w:hint="default"/>
          <w:b/>
          <w:bCs/>
        </w:rPr>
      </w:pPr>
      <w:r>
        <w:rPr>
          <w:rFonts w:hint="eastAsia"/>
          <w:b/>
          <w:bCs/>
          <w:lang w:val="en-US" w:eastAsia="zh-CN"/>
        </w:rPr>
        <w:t>（3</w:t>
      </w:r>
      <w:r>
        <w:rPr>
          <w:rFonts w:hint="eastAsia"/>
          <w:b/>
          <w:bCs/>
          <w:lang w:eastAsia="zh-CN"/>
        </w:rPr>
        <w:t>）</w:t>
      </w:r>
      <w:r>
        <w:rPr>
          <w:rFonts w:hint="default"/>
          <w:b/>
          <w:bCs/>
        </w:rPr>
        <w:t>混凝土施工</w:t>
      </w:r>
    </w:p>
    <w:p w14:paraId="29822A74">
      <w:pPr>
        <w:bidi w:val="0"/>
        <w:rPr>
          <w:rFonts w:hint="default"/>
        </w:rPr>
      </w:pPr>
      <w:r>
        <w:rPr>
          <w:rFonts w:hint="default"/>
        </w:rPr>
        <w:t>现浇砼施工程序：地基处理→场地平整→测量放样→支架搭设→底模铺设→钢筋制安→侧模安装→质量检查验收→混凝土浇筑→养护、待凝→拆模。</w:t>
      </w:r>
    </w:p>
    <w:p w14:paraId="65C6CFEF">
      <w:pPr>
        <w:bidi w:val="0"/>
        <w:rPr>
          <w:rFonts w:hint="default"/>
        </w:rPr>
      </w:pPr>
      <w:r>
        <w:rPr>
          <w:rFonts w:hint="eastAsia"/>
          <w:lang w:val="en-US" w:eastAsia="zh-CN"/>
        </w:rPr>
        <w:t>1）</w:t>
      </w:r>
      <w:r>
        <w:rPr>
          <w:rFonts w:hint="default"/>
        </w:rPr>
        <w:t>地基处理：搭设模板前，应清除地表软土，换填10cm厚的碎石垫层，碾压密实。</w:t>
      </w:r>
    </w:p>
    <w:p w14:paraId="4BCF0374">
      <w:pPr>
        <w:bidi w:val="0"/>
        <w:rPr>
          <w:rFonts w:hint="default"/>
        </w:rPr>
      </w:pPr>
      <w:r>
        <w:rPr>
          <w:rFonts w:hint="eastAsia"/>
          <w:lang w:val="en-US" w:eastAsia="zh-CN"/>
        </w:rPr>
        <w:t>2）</w:t>
      </w:r>
      <w:r>
        <w:rPr>
          <w:rFonts w:hint="default"/>
        </w:rPr>
        <w:t>模板：模板采用木胶模板，外露面采用多层胶合板整块。</w:t>
      </w:r>
    </w:p>
    <w:p w14:paraId="06515C27">
      <w:pPr>
        <w:bidi w:val="0"/>
        <w:rPr>
          <w:rFonts w:hint="default"/>
        </w:rPr>
      </w:pPr>
      <w:r>
        <w:rPr>
          <w:rFonts w:hint="eastAsia"/>
          <w:lang w:val="en-US" w:eastAsia="zh-CN"/>
        </w:rPr>
        <w:t>3）</w:t>
      </w:r>
      <w:r>
        <w:rPr>
          <w:rFonts w:hint="default"/>
        </w:rPr>
        <w:t>混凝土浇筑：混凝土由拌和机集中拌制，自卸车运输至施工现场，反铲入仓。混凝土采用平铺的方式浇筑，采用DN50mm插入式振动棒捣固密实。</w:t>
      </w:r>
    </w:p>
    <w:p w14:paraId="0796E042">
      <w:pPr>
        <w:bidi w:val="0"/>
        <w:rPr>
          <w:rFonts w:hint="default"/>
        </w:rPr>
      </w:pPr>
      <w:r>
        <w:rPr>
          <w:rFonts w:hint="eastAsia"/>
          <w:lang w:val="en-US" w:eastAsia="zh-CN"/>
        </w:rPr>
        <w:t>4）</w:t>
      </w:r>
      <w:r>
        <w:rPr>
          <w:rFonts w:hint="default"/>
        </w:rPr>
        <w:t>模板拆除：侧模在混凝土强度达到3.5MPa后即可拆除，底模在混凝土强度达到设计强度的100%后可拆除。</w:t>
      </w:r>
    </w:p>
    <w:p w14:paraId="66ABAC51">
      <w:pPr>
        <w:bidi w:val="0"/>
        <w:rPr>
          <w:rFonts w:hint="default"/>
        </w:rPr>
      </w:pPr>
      <w:r>
        <w:rPr>
          <w:rFonts w:hint="eastAsia"/>
          <w:lang w:val="en-US" w:eastAsia="zh-CN"/>
        </w:rPr>
        <w:t>5）</w:t>
      </w:r>
      <w:r>
        <w:rPr>
          <w:rFonts w:hint="default"/>
        </w:rPr>
        <w:t>混凝土养护混凝土浇筑收仓6～18h或初凝后，开始对混凝土进行洒水养护，保持混凝土表面湿润。混凝土养护设专人负责，并做好养护记录</w:t>
      </w:r>
      <w:r>
        <w:rPr>
          <w:rFonts w:hint="eastAsia"/>
          <w:lang w:eastAsia="zh-CN"/>
        </w:rPr>
        <w:t>。</w:t>
      </w:r>
    </w:p>
    <w:p w14:paraId="1E787743">
      <w:pPr>
        <w:pStyle w:val="4"/>
        <w:bidi w:val="0"/>
        <w:rPr>
          <w:rFonts w:hint="default"/>
        </w:rPr>
      </w:pPr>
      <w:bookmarkStart w:id="137" w:name="_Toc2934"/>
      <w:bookmarkStart w:id="138" w:name="_Toc403988775"/>
      <w:bookmarkStart w:id="139" w:name="_Toc488607859"/>
      <w:bookmarkStart w:id="140" w:name="_Toc14572"/>
      <w:r>
        <w:rPr>
          <w:rFonts w:hint="eastAsia"/>
          <w:lang w:val="en-US" w:eastAsia="zh-CN"/>
        </w:rPr>
        <w:t xml:space="preserve">5.3.3 </w:t>
      </w:r>
      <w:r>
        <w:rPr>
          <w:rFonts w:hint="default"/>
        </w:rPr>
        <w:t>道路工程施工</w:t>
      </w:r>
      <w:bookmarkEnd w:id="137"/>
      <w:bookmarkEnd w:id="138"/>
      <w:bookmarkEnd w:id="139"/>
      <w:bookmarkEnd w:id="140"/>
    </w:p>
    <w:p w14:paraId="17476270">
      <w:pPr>
        <w:pStyle w:val="5"/>
        <w:bidi w:val="0"/>
        <w:rPr>
          <w:rFonts w:hint="default"/>
        </w:rPr>
      </w:pPr>
      <w:r>
        <w:rPr>
          <w:rFonts w:hint="eastAsia"/>
          <w:lang w:val="en-US" w:eastAsia="zh-CN"/>
        </w:rPr>
        <w:t xml:space="preserve">5.3.3.1 </w:t>
      </w:r>
      <w:r>
        <w:rPr>
          <w:rFonts w:hint="default"/>
        </w:rPr>
        <w:t>路基填筑施工</w:t>
      </w:r>
    </w:p>
    <w:p w14:paraId="46489704">
      <w:pPr>
        <w:bidi w:val="0"/>
        <w:rPr>
          <w:rFonts w:hint="default"/>
        </w:rPr>
      </w:pPr>
      <w:r>
        <w:rPr>
          <w:rFonts w:hint="default"/>
        </w:rPr>
        <w:t>在土方填筑前，应清除填方基底上的树墩、树根及坑洞中的水、淤泥和杂物等。填方的土料应符合设计要求，填方用粘土应控制含水量，填土应分层进行，并尽量采用同类土填筑，当采用不同土填筑时，应将透水性较大的土层置于透水性较小的土层之下。经监理工程师认可，实测填前标高后，方可进行路基施工。</w:t>
      </w:r>
    </w:p>
    <w:p w14:paraId="32147BDA">
      <w:pPr>
        <w:bidi w:val="0"/>
        <w:rPr>
          <w:rFonts w:hint="default"/>
        </w:rPr>
      </w:pPr>
      <w:r>
        <w:rPr>
          <w:rFonts w:hint="default"/>
        </w:rPr>
        <w:t>恢复路基中线并加密中桩，测标高，放出坡脚桩，在桩上注明桩号，标上填筑高度。</w:t>
      </w:r>
    </w:p>
    <w:p w14:paraId="35BF7149">
      <w:pPr>
        <w:bidi w:val="0"/>
        <w:rPr>
          <w:rFonts w:hint="default"/>
        </w:rPr>
      </w:pPr>
      <w:r>
        <w:rPr>
          <w:rFonts w:hint="default"/>
        </w:rPr>
        <w:t>填筑顺序：回填时，前一个施工段回填碾压至设计标高后才施工后一施工段，各段之间通过1</w:t>
      </w:r>
      <w:r>
        <w:rPr>
          <w:rFonts w:hint="eastAsia"/>
          <w:lang w:eastAsia="zh-CN"/>
        </w:rPr>
        <w:t>:</w:t>
      </w:r>
      <w:r>
        <w:rPr>
          <w:rFonts w:hint="default"/>
        </w:rPr>
        <w:t>2（高度为50厘米，宽度为100厘米）台阶式边坡连接。</w:t>
      </w:r>
    </w:p>
    <w:p w14:paraId="66E03201">
      <w:pPr>
        <w:bidi w:val="0"/>
        <w:rPr>
          <w:rFonts w:hint="default"/>
        </w:rPr>
      </w:pPr>
      <w:r>
        <w:rPr>
          <w:rFonts w:hint="default"/>
        </w:rPr>
        <w:t>每个施工段接茬部分，同时填筑，并分层交错搭接，搭接长度不小于3米。</w:t>
      </w:r>
    </w:p>
    <w:p w14:paraId="073C6100">
      <w:pPr>
        <w:bidi w:val="0"/>
        <w:rPr>
          <w:rFonts w:hint="default"/>
        </w:rPr>
      </w:pPr>
      <w:r>
        <w:rPr>
          <w:rFonts w:hint="default"/>
        </w:rPr>
        <w:t>摊平：自卸汽车从取土区把土方运至填土区，由推土机把卸下的土摊平。推土时推土机不能碰撞控制桩，机械无法平整的地方由人工平整。</w:t>
      </w:r>
    </w:p>
    <w:p w14:paraId="0125FAB6">
      <w:pPr>
        <w:bidi w:val="0"/>
        <w:rPr>
          <w:rFonts w:hint="default"/>
        </w:rPr>
      </w:pPr>
      <w:r>
        <w:rPr>
          <w:rFonts w:hint="default"/>
        </w:rPr>
        <w:t>填土厚度：填土作业采用从下到上分层填土的方法，根据现场土质和机械的压实功能，并通过试验确定每层填土的松铺厚度，约为25～30厘米。分层填土时在控制桩上标出每层填土的厚度，确保填土的厚度不超高或过低。在填筑上一层土方前，要检验下层土的压实度及压实高度符合要求，并做好隐蔽验收记录及通过监理工程师验收合格。</w:t>
      </w:r>
    </w:p>
    <w:p w14:paraId="5BA5EB7E">
      <w:pPr>
        <w:bidi w:val="0"/>
        <w:rPr>
          <w:rFonts w:hint="default"/>
        </w:rPr>
      </w:pPr>
      <w:r>
        <w:rPr>
          <w:rFonts w:hint="default"/>
        </w:rPr>
        <w:t>最上一层土的填筑</w:t>
      </w:r>
      <w:r>
        <w:rPr>
          <w:rFonts w:hint="eastAsia"/>
          <w:lang w:eastAsia="zh-CN"/>
        </w:rPr>
        <w:t>：</w:t>
      </w:r>
      <w:r>
        <w:rPr>
          <w:rFonts w:hint="default"/>
        </w:rPr>
        <w:t>当填土接近设计标高时，测量员要加强测量检查，控制最上一层填土厚度，最上一层填土既不能太厚又不能太薄，太厚了压实度达不到，太薄了上层土易脱皮，不能很好结合。对于土面区，最后一层填土的压实厚度约为15厘米。根据现场土质及现场试压情况留准虚高，使碾压后的高程符合质量标准。最后一层的高程控制采用加桩挂线法。</w:t>
      </w:r>
    </w:p>
    <w:p w14:paraId="5C9B9AF3">
      <w:pPr>
        <w:bidi w:val="0"/>
        <w:rPr>
          <w:rFonts w:hint="default"/>
        </w:rPr>
      </w:pPr>
      <w:r>
        <w:rPr>
          <w:rFonts w:hint="default"/>
        </w:rPr>
        <w:t>碾压：填土碾压前，通过试验测定土的含水量，若土的含水量偏低，在碾压前采取向土洒水湿润、增加压实遍数等措施，若土的含水量偏高，在碾压前采取置换土、晾晒干土等措施，控制含水量在最佳含水量的±2%范围内，使土在最佳含水量的情况下进行碾压，保证碾压质量。</w:t>
      </w:r>
    </w:p>
    <w:p w14:paraId="4163C21B">
      <w:pPr>
        <w:bidi w:val="0"/>
        <w:rPr>
          <w:rFonts w:hint="default"/>
        </w:rPr>
      </w:pPr>
      <w:r>
        <w:rPr>
          <w:rFonts w:hint="default"/>
        </w:rPr>
        <w:t>采用压路机进行碾压，压实填方时，行驶速度不宜过快，控制速度为2km/h为宜。</w:t>
      </w:r>
    </w:p>
    <w:p w14:paraId="4F733F1E">
      <w:pPr>
        <w:bidi w:val="0"/>
        <w:rPr>
          <w:rFonts w:hint="default"/>
        </w:rPr>
      </w:pPr>
      <w:r>
        <w:rPr>
          <w:rFonts w:hint="default"/>
        </w:rPr>
        <w:t>夯压前要测试原地面土的含水量，若含水量偏低，采用预先洒水湿润的方法，若含水量偏高，采用置换适宜含水量的土等方法。当压实顶面稳定不再下沉（无轮迹），达到用锹难于挖动须用撬棍才能松动且土壁稳定，可认定为密实状态。</w:t>
      </w:r>
    </w:p>
    <w:p w14:paraId="77A14A16">
      <w:pPr>
        <w:bidi w:val="0"/>
        <w:rPr>
          <w:rFonts w:hint="default"/>
        </w:rPr>
      </w:pPr>
      <w:r>
        <w:rPr>
          <w:rFonts w:hint="default"/>
        </w:rPr>
        <w:t>夯实碾压完毕后，测定压实度并经监理工程师验收合格，填写隐蔽工程验收单，方能进入下一道工序。</w:t>
      </w:r>
    </w:p>
    <w:p w14:paraId="406B82FA">
      <w:pPr>
        <w:pStyle w:val="5"/>
        <w:bidi w:val="0"/>
        <w:rPr>
          <w:rFonts w:hint="default"/>
        </w:rPr>
      </w:pPr>
      <w:r>
        <w:rPr>
          <w:rFonts w:hint="eastAsia"/>
          <w:lang w:val="en-US" w:eastAsia="zh-CN"/>
        </w:rPr>
        <w:t xml:space="preserve">5.3.3.2 </w:t>
      </w:r>
      <w:r>
        <w:rPr>
          <w:rFonts w:hint="default"/>
        </w:rPr>
        <w:t>路面铺设施工</w:t>
      </w:r>
    </w:p>
    <w:p w14:paraId="11E19505">
      <w:pPr>
        <w:bidi w:val="0"/>
        <w:rPr>
          <w:rFonts w:hint="default"/>
        </w:rPr>
      </w:pPr>
      <w:r>
        <w:rPr>
          <w:rFonts w:hint="default"/>
        </w:rPr>
        <w:t>碎石铺设施工工艺流程为：施工放样→运输和摊铺主要集料→运输和摊铺掺配集料→洒水拌和→整形→碾压。</w:t>
      </w:r>
    </w:p>
    <w:p w14:paraId="279C0E52">
      <w:pPr>
        <w:bidi w:val="0"/>
        <w:rPr>
          <w:rFonts w:hint="default"/>
        </w:rPr>
      </w:pPr>
      <w:r>
        <w:rPr>
          <w:rFonts w:hint="default"/>
        </w:rPr>
        <w:t>测量：在填土路基上恢复中线，直线</w:t>
      </w:r>
      <w:r>
        <w:rPr>
          <w:rFonts w:hint="eastAsia"/>
          <w:lang w:eastAsia="zh-CN"/>
        </w:rPr>
        <w:t>段</w:t>
      </w:r>
      <w:r>
        <w:rPr>
          <w:rFonts w:hint="default"/>
        </w:rPr>
        <w:t>15</w:t>
      </w:r>
      <w:r>
        <w:rPr>
          <w:rFonts w:hint="eastAsia"/>
          <w:lang w:val="en-US" w:eastAsia="zh-CN"/>
        </w:rPr>
        <w:t>--</w:t>
      </w:r>
      <w:r>
        <w:rPr>
          <w:rFonts w:hint="default"/>
        </w:rPr>
        <w:t>20m设一桩，平曲段每10</w:t>
      </w:r>
      <w:r>
        <w:rPr>
          <w:rFonts w:hint="eastAsia"/>
          <w:lang w:val="en-US" w:eastAsia="zh-CN"/>
        </w:rPr>
        <w:t>--</w:t>
      </w:r>
      <w:r>
        <w:rPr>
          <w:rFonts w:hint="default"/>
        </w:rPr>
        <w:t>15m设一桩，并在两侧路面边缘外0.3</w:t>
      </w:r>
      <w:r>
        <w:rPr>
          <w:rFonts w:hint="eastAsia"/>
          <w:lang w:val="en-US" w:eastAsia="zh-CN"/>
        </w:rPr>
        <w:t>--</w:t>
      </w:r>
      <w:r>
        <w:rPr>
          <w:rFonts w:hint="default"/>
        </w:rPr>
        <w:t>0.5m设指示桩，进行水平测量，在两侧指示桩上用红漆标出面层边缘设计标高。</w:t>
      </w:r>
    </w:p>
    <w:p w14:paraId="663743D8">
      <w:pPr>
        <w:bidi w:val="0"/>
        <w:rPr>
          <w:rFonts w:hint="default"/>
        </w:rPr>
      </w:pPr>
      <w:r>
        <w:rPr>
          <w:rFonts w:hint="default"/>
        </w:rPr>
        <w:t>摊铺：由于路面较窄，其碎石面层采用机械摊铺，松铺系数为1.4</w:t>
      </w:r>
      <w:r>
        <w:rPr>
          <w:rFonts w:hint="eastAsia"/>
          <w:lang w:val="en-US" w:eastAsia="zh-CN"/>
        </w:rPr>
        <w:t>--</w:t>
      </w:r>
      <w:r>
        <w:rPr>
          <w:rFonts w:hint="default"/>
        </w:rPr>
        <w:t>1.5，并采用分层铺筑，下层厚度为总厚度的0.6倍，上层为总厚度的0.4倍。</w:t>
      </w:r>
    </w:p>
    <w:p w14:paraId="51B08231">
      <w:pPr>
        <w:bidi w:val="0"/>
        <w:rPr>
          <w:rFonts w:hint="default"/>
        </w:rPr>
      </w:pPr>
      <w:r>
        <w:rPr>
          <w:rFonts w:hint="default"/>
        </w:rPr>
        <w:t>碾压：当混合料的含水量等于或略大于最佳含水量时，立即用压路机械进行碾压，碾压过程应随碾压随洒水，使其保持最佳含水量。碾压时如发现砂窝或梅花现象，应将多余的碎石挖出，分别掺入适量的砂砾，翻拌均匀，并补充碾压，不能采用粗砂或砾石覆盖处理。碾压中局部有</w:t>
      </w:r>
      <w:r>
        <w:rPr>
          <w:rFonts w:hint="eastAsia"/>
          <w:lang w:eastAsia="zh-CN"/>
        </w:rPr>
        <w:t>“</w:t>
      </w:r>
      <w:r>
        <w:rPr>
          <w:rFonts w:hint="default"/>
        </w:rPr>
        <w:t>翻浆</w:t>
      </w:r>
      <w:r>
        <w:rPr>
          <w:rFonts w:hint="eastAsia"/>
          <w:lang w:eastAsia="zh-CN"/>
        </w:rPr>
        <w:t>”</w:t>
      </w:r>
      <w:r>
        <w:rPr>
          <w:rFonts w:hint="default"/>
        </w:rPr>
        <w:t>现象，应立即停止碾压，待翻松晒干或掺入含水量合适的材料后再进行碾压。</w:t>
      </w:r>
    </w:p>
    <w:p w14:paraId="5A4CA4E0">
      <w:pPr>
        <w:pStyle w:val="3"/>
        <w:bidi w:val="0"/>
        <w:rPr>
          <w:rFonts w:hint="default"/>
        </w:rPr>
      </w:pPr>
      <w:bookmarkStart w:id="141" w:name="_Toc15725"/>
      <w:bookmarkStart w:id="142" w:name="_Toc23344"/>
      <w:bookmarkStart w:id="143" w:name="_Toc10546"/>
      <w:bookmarkStart w:id="144" w:name="_Toc8468"/>
      <w:bookmarkStart w:id="145" w:name="_Toc7973"/>
      <w:bookmarkStart w:id="146" w:name="_Toc31066"/>
      <w:r>
        <w:rPr>
          <w:rFonts w:hint="eastAsia"/>
          <w:lang w:val="en-US" w:eastAsia="zh-CN"/>
        </w:rPr>
        <w:t xml:space="preserve">5.4 </w:t>
      </w:r>
      <w:r>
        <w:rPr>
          <w:rFonts w:hint="default"/>
        </w:rPr>
        <w:t>施工总进度安排</w:t>
      </w:r>
      <w:bookmarkEnd w:id="141"/>
      <w:bookmarkEnd w:id="142"/>
      <w:bookmarkEnd w:id="143"/>
      <w:bookmarkEnd w:id="144"/>
      <w:bookmarkEnd w:id="145"/>
      <w:bookmarkEnd w:id="146"/>
    </w:p>
    <w:p w14:paraId="49C49963">
      <w:pPr>
        <w:ind w:firstLine="560"/>
        <w:rPr>
          <w:rFonts w:ascii="Times New Roman" w:hAnsi="Times New Roman" w:cs="Times New Roman"/>
          <w:color w:val="auto"/>
          <w:sz w:val="24"/>
          <w:szCs w:val="24"/>
          <w:highlight w:val="none"/>
          <w:lang w:eastAsia="zh-CN"/>
        </w:rPr>
      </w:pPr>
      <w:bookmarkStart w:id="147" w:name="_Toc327083412"/>
      <w:r>
        <w:rPr>
          <w:rFonts w:hint="eastAsia"/>
          <w:color w:val="auto"/>
          <w:szCs w:val="28"/>
          <w:lang w:eastAsia="zh-CN"/>
        </w:rPr>
        <w:t>202</w:t>
      </w:r>
      <w:r>
        <w:rPr>
          <w:rFonts w:hint="eastAsia"/>
          <w:color w:val="auto"/>
          <w:szCs w:val="28"/>
          <w:lang w:val="en-US" w:eastAsia="zh-CN"/>
        </w:rPr>
        <w:t>6</w:t>
      </w:r>
      <w:r>
        <w:rPr>
          <w:rFonts w:hint="eastAsia"/>
          <w:color w:val="auto"/>
          <w:szCs w:val="28"/>
          <w:lang w:eastAsia="zh-CN"/>
        </w:rPr>
        <w:t>年</w:t>
      </w:r>
      <w:r>
        <w:rPr>
          <w:rFonts w:hint="eastAsia"/>
          <w:color w:val="auto"/>
          <w:szCs w:val="28"/>
          <w:lang w:val="en-US" w:eastAsia="zh-CN"/>
        </w:rPr>
        <w:t>6—7</w:t>
      </w:r>
      <w:r>
        <w:rPr>
          <w:rFonts w:hint="eastAsia"/>
          <w:color w:val="auto"/>
          <w:szCs w:val="28"/>
          <w:lang w:eastAsia="zh-CN"/>
        </w:rPr>
        <w:t>月为项目申报、设计阶段和预算、施工图设计、施工招标阶段，建设期为202</w:t>
      </w:r>
      <w:r>
        <w:rPr>
          <w:rFonts w:hint="eastAsia"/>
          <w:color w:val="auto"/>
          <w:szCs w:val="28"/>
          <w:lang w:val="en-US" w:eastAsia="zh-CN"/>
        </w:rPr>
        <w:t>6</w:t>
      </w:r>
      <w:r>
        <w:rPr>
          <w:rFonts w:hint="eastAsia"/>
          <w:color w:val="auto"/>
          <w:szCs w:val="28"/>
          <w:lang w:eastAsia="zh-CN"/>
        </w:rPr>
        <w:t>年</w:t>
      </w:r>
      <w:r>
        <w:rPr>
          <w:rFonts w:hint="eastAsia"/>
          <w:color w:val="auto"/>
          <w:szCs w:val="28"/>
          <w:lang w:val="en-US" w:eastAsia="zh-CN"/>
        </w:rPr>
        <w:t>8</w:t>
      </w:r>
      <w:r>
        <w:rPr>
          <w:rFonts w:hint="eastAsia"/>
          <w:color w:val="auto"/>
          <w:szCs w:val="28"/>
          <w:lang w:eastAsia="zh-CN"/>
        </w:rPr>
        <w:t>月—202</w:t>
      </w:r>
      <w:r>
        <w:rPr>
          <w:rFonts w:hint="eastAsia"/>
          <w:color w:val="auto"/>
          <w:szCs w:val="28"/>
          <w:lang w:val="en-US" w:eastAsia="zh-CN"/>
        </w:rPr>
        <w:t>6</w:t>
      </w:r>
      <w:r>
        <w:rPr>
          <w:rFonts w:hint="eastAsia"/>
          <w:color w:val="auto"/>
          <w:szCs w:val="28"/>
          <w:lang w:eastAsia="zh-CN"/>
        </w:rPr>
        <w:t>年</w:t>
      </w:r>
      <w:r>
        <w:rPr>
          <w:rFonts w:hint="eastAsia"/>
          <w:color w:val="auto"/>
          <w:szCs w:val="28"/>
          <w:lang w:val="en-US" w:eastAsia="zh-CN"/>
        </w:rPr>
        <w:t>10</w:t>
      </w:r>
      <w:r>
        <w:rPr>
          <w:rFonts w:hint="eastAsia"/>
          <w:color w:val="auto"/>
          <w:szCs w:val="28"/>
          <w:lang w:eastAsia="zh-CN"/>
        </w:rPr>
        <w:t>月，项目工程建设实施期限为</w:t>
      </w:r>
      <w:r>
        <w:rPr>
          <w:rFonts w:hint="eastAsia"/>
          <w:color w:val="auto"/>
          <w:szCs w:val="28"/>
          <w:lang w:val="en-US" w:eastAsia="zh-CN"/>
        </w:rPr>
        <w:t>3</w:t>
      </w:r>
      <w:r>
        <w:rPr>
          <w:rFonts w:hint="eastAsia"/>
          <w:color w:val="auto"/>
          <w:szCs w:val="28"/>
          <w:lang w:eastAsia="zh-CN"/>
        </w:rPr>
        <w:t>个月。202</w:t>
      </w:r>
      <w:r>
        <w:rPr>
          <w:rFonts w:hint="eastAsia"/>
          <w:color w:val="auto"/>
          <w:szCs w:val="28"/>
          <w:lang w:val="en-US" w:eastAsia="zh-CN"/>
        </w:rPr>
        <w:t>6</w:t>
      </w:r>
      <w:r>
        <w:rPr>
          <w:rFonts w:hint="eastAsia"/>
          <w:color w:val="auto"/>
          <w:szCs w:val="28"/>
          <w:lang w:eastAsia="zh-CN"/>
        </w:rPr>
        <w:t>年</w:t>
      </w:r>
      <w:r>
        <w:rPr>
          <w:rFonts w:hint="eastAsia"/>
          <w:color w:val="auto"/>
          <w:szCs w:val="28"/>
          <w:lang w:val="en-US" w:eastAsia="zh-CN"/>
        </w:rPr>
        <w:t>9</w:t>
      </w:r>
      <w:r>
        <w:rPr>
          <w:rFonts w:hint="eastAsia"/>
          <w:color w:val="auto"/>
          <w:szCs w:val="28"/>
          <w:lang w:eastAsia="zh-CN"/>
        </w:rPr>
        <w:t>月完成田块整治</w:t>
      </w:r>
      <w:r>
        <w:rPr>
          <w:rFonts w:hint="eastAsia"/>
          <w:color w:val="auto"/>
          <w:szCs w:val="28"/>
          <w:lang w:val="en-US" w:eastAsia="zh-CN"/>
        </w:rPr>
        <w:t>工程、</w:t>
      </w:r>
      <w:r>
        <w:rPr>
          <w:rFonts w:hint="eastAsia"/>
          <w:color w:val="auto"/>
          <w:szCs w:val="28"/>
          <w:lang w:eastAsia="zh-CN"/>
        </w:rPr>
        <w:t>灌溉排水工程、</w:t>
      </w:r>
      <w:r>
        <w:rPr>
          <w:rFonts w:hint="eastAsia"/>
          <w:color w:val="auto"/>
          <w:szCs w:val="28"/>
          <w:lang w:val="en-US" w:eastAsia="zh-CN"/>
        </w:rPr>
        <w:t>田间</w:t>
      </w:r>
      <w:r>
        <w:rPr>
          <w:rFonts w:hint="eastAsia"/>
          <w:color w:val="auto"/>
          <w:szCs w:val="28"/>
          <w:lang w:eastAsia="zh-CN"/>
        </w:rPr>
        <w:t>道路工程；20</w:t>
      </w:r>
      <w:r>
        <w:rPr>
          <w:rFonts w:hint="eastAsia"/>
          <w:color w:val="auto"/>
          <w:szCs w:val="28"/>
          <w:lang w:val="en-US" w:eastAsia="zh-CN"/>
        </w:rPr>
        <w:t>26</w:t>
      </w:r>
      <w:r>
        <w:rPr>
          <w:rFonts w:hint="eastAsia"/>
          <w:color w:val="auto"/>
          <w:szCs w:val="28"/>
          <w:lang w:eastAsia="zh-CN"/>
        </w:rPr>
        <w:t>年</w:t>
      </w:r>
      <w:r>
        <w:rPr>
          <w:rFonts w:hint="eastAsia"/>
          <w:color w:val="auto"/>
          <w:szCs w:val="28"/>
          <w:lang w:val="en-US" w:eastAsia="zh-CN"/>
        </w:rPr>
        <w:t>10</w:t>
      </w:r>
      <w:r>
        <w:rPr>
          <w:rFonts w:hint="eastAsia"/>
          <w:color w:val="auto"/>
          <w:szCs w:val="28"/>
          <w:lang w:eastAsia="zh-CN"/>
        </w:rPr>
        <w:t>月申报验收</w:t>
      </w:r>
      <w:r>
        <w:rPr>
          <w:rFonts w:ascii="Times New Roman" w:hAnsi="Times New Roman" w:cs="Times New Roman"/>
          <w:color w:val="auto"/>
          <w:sz w:val="24"/>
          <w:szCs w:val="24"/>
          <w:highlight w:val="none"/>
          <w:lang w:eastAsia="zh-CN"/>
        </w:rPr>
        <w:t>。</w:t>
      </w:r>
    </w:p>
    <w:bookmarkEnd w:id="147"/>
    <w:p w14:paraId="0A1921A3">
      <w:pPr>
        <w:bidi w:val="0"/>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14:paraId="102B13EF">
      <w:pPr>
        <w:pStyle w:val="2"/>
        <w:bidi w:val="0"/>
      </w:pPr>
      <w:bookmarkStart w:id="148" w:name="_Toc4514"/>
      <w:bookmarkStart w:id="149" w:name="_Toc23882"/>
      <w:r>
        <w:rPr>
          <w:lang w:val="en-US" w:eastAsia="zh-CN"/>
        </w:rPr>
        <w:t>第</w:t>
      </w:r>
      <w:r>
        <w:rPr>
          <w:rFonts w:hint="eastAsia"/>
          <w:lang w:val="en-US" w:eastAsia="zh-CN"/>
        </w:rPr>
        <w:t>六</w:t>
      </w:r>
      <w:r>
        <w:rPr>
          <w:lang w:val="en-US" w:eastAsia="zh-CN"/>
        </w:rPr>
        <w:t>章</w:t>
      </w:r>
      <w:r>
        <w:rPr>
          <w:rFonts w:hint="eastAsia"/>
          <w:lang w:val="en-US" w:eastAsia="zh-CN"/>
        </w:rPr>
        <w:t xml:space="preserve"> </w:t>
      </w:r>
      <w:r>
        <w:rPr>
          <w:lang w:val="en-US" w:eastAsia="zh-CN"/>
        </w:rPr>
        <w:t xml:space="preserve"> 环境保护与安全防护设计</w:t>
      </w:r>
      <w:bookmarkEnd w:id="148"/>
      <w:bookmarkEnd w:id="149"/>
      <w:r>
        <w:rPr>
          <w:lang w:val="en-US" w:eastAsia="zh-CN"/>
        </w:rPr>
        <w:t xml:space="preserve"> </w:t>
      </w:r>
    </w:p>
    <w:p w14:paraId="7168C4B8">
      <w:pPr>
        <w:pStyle w:val="3"/>
        <w:bidi w:val="0"/>
        <w:rPr>
          <w:rFonts w:hint="eastAsia"/>
          <w:lang w:val="en-US" w:eastAsia="zh-CN"/>
        </w:rPr>
      </w:pPr>
      <w:bookmarkStart w:id="150" w:name="_Toc5826"/>
      <w:bookmarkStart w:id="151" w:name="_Toc32508"/>
      <w:r>
        <w:rPr>
          <w:rStyle w:val="25"/>
          <w:rFonts w:hint="eastAsia"/>
          <w:b/>
          <w:bCs/>
          <w:lang w:val="en-US" w:eastAsia="zh-CN"/>
        </w:rPr>
        <w:t>6.1 环境保护措施</w:t>
      </w:r>
      <w:bookmarkEnd w:id="150"/>
      <w:bookmarkEnd w:id="151"/>
      <w:r>
        <w:rPr>
          <w:rFonts w:hint="eastAsia"/>
          <w:lang w:val="en-US" w:eastAsia="zh-CN"/>
        </w:rPr>
        <w:t xml:space="preserve"> </w:t>
      </w:r>
    </w:p>
    <w:p w14:paraId="1608F4B5">
      <w:pPr>
        <w:pStyle w:val="4"/>
        <w:bidi w:val="0"/>
        <w:rPr>
          <w:rFonts w:hint="eastAsia"/>
          <w:lang w:val="en-US" w:eastAsia="zh-CN"/>
        </w:rPr>
      </w:pPr>
      <w:r>
        <w:rPr>
          <w:rFonts w:hint="eastAsia"/>
          <w:lang w:val="en-US" w:eastAsia="zh-CN"/>
        </w:rPr>
        <w:t xml:space="preserve">6.1.1 法律法规与政策 </w:t>
      </w:r>
    </w:p>
    <w:p w14:paraId="27E849E7">
      <w:pPr>
        <w:bidi w:val="0"/>
        <w:rPr>
          <w:rFonts w:hint="eastAsia"/>
          <w:lang w:val="en-US" w:eastAsia="zh-CN"/>
        </w:rPr>
      </w:pPr>
      <w:r>
        <w:rPr>
          <w:rFonts w:hint="eastAsia"/>
          <w:lang w:val="en-US" w:eastAsia="zh-CN"/>
        </w:rPr>
        <w:t xml:space="preserve">（1）《中华人民共和国环境保护法》，2015 年1月1日； </w:t>
      </w:r>
    </w:p>
    <w:p w14:paraId="1668E7AD">
      <w:pPr>
        <w:bidi w:val="0"/>
        <w:rPr>
          <w:rFonts w:hint="eastAsia"/>
          <w:lang w:val="en-US" w:eastAsia="zh-CN"/>
        </w:rPr>
      </w:pPr>
      <w:r>
        <w:rPr>
          <w:rFonts w:hint="eastAsia"/>
          <w:lang w:val="en-US" w:eastAsia="zh-CN"/>
        </w:rPr>
        <w:t xml:space="preserve">（2）《中华人民共和国环境影响评价法》，2018年12月29日； </w:t>
      </w:r>
    </w:p>
    <w:p w14:paraId="3621F34D">
      <w:pPr>
        <w:bidi w:val="0"/>
        <w:rPr>
          <w:rFonts w:hint="eastAsia"/>
          <w:lang w:val="en-US" w:eastAsia="zh-CN"/>
        </w:rPr>
      </w:pPr>
      <w:r>
        <w:rPr>
          <w:rFonts w:hint="eastAsia"/>
          <w:lang w:val="en-US" w:eastAsia="zh-CN"/>
        </w:rPr>
        <w:t xml:space="preserve">（3）《中华人民共和国水污染防治法》，2018年1月1日； </w:t>
      </w:r>
    </w:p>
    <w:p w14:paraId="1073113D">
      <w:pPr>
        <w:bidi w:val="0"/>
        <w:rPr>
          <w:rFonts w:hint="eastAsia"/>
          <w:lang w:val="en-US" w:eastAsia="zh-CN"/>
        </w:rPr>
      </w:pPr>
      <w:r>
        <w:rPr>
          <w:rFonts w:hint="eastAsia"/>
          <w:lang w:val="en-US" w:eastAsia="zh-CN"/>
        </w:rPr>
        <w:t xml:space="preserve">（4）《中华人民共和国大气污染防治法》，2018年10月26日； </w:t>
      </w:r>
    </w:p>
    <w:p w14:paraId="11448365">
      <w:pPr>
        <w:bidi w:val="0"/>
        <w:rPr>
          <w:rFonts w:hint="eastAsia"/>
          <w:lang w:val="en-US" w:eastAsia="zh-CN"/>
        </w:rPr>
      </w:pPr>
      <w:r>
        <w:rPr>
          <w:rFonts w:hint="eastAsia"/>
          <w:lang w:val="en-US" w:eastAsia="zh-CN"/>
        </w:rPr>
        <w:t xml:space="preserve">（6）《中华人民共和国固体废物污染环境防治法》，2020年4月29日修订； </w:t>
      </w:r>
    </w:p>
    <w:p w14:paraId="4932B603">
      <w:pPr>
        <w:bidi w:val="0"/>
        <w:rPr>
          <w:rFonts w:hint="eastAsia"/>
          <w:lang w:val="en-US" w:eastAsia="zh-CN"/>
        </w:rPr>
      </w:pPr>
      <w:r>
        <w:rPr>
          <w:rFonts w:hint="eastAsia"/>
          <w:lang w:val="en-US" w:eastAsia="zh-CN"/>
        </w:rPr>
        <w:t xml:space="preserve">（7）《中华人民共和国水土保持法》，2010年12月25日修订； </w:t>
      </w:r>
    </w:p>
    <w:p w14:paraId="29730E68">
      <w:pPr>
        <w:bidi w:val="0"/>
        <w:rPr>
          <w:rFonts w:hint="eastAsia"/>
          <w:lang w:val="en-US" w:eastAsia="zh-CN"/>
        </w:rPr>
      </w:pPr>
      <w:r>
        <w:rPr>
          <w:rFonts w:hint="eastAsia"/>
          <w:lang w:val="en-US" w:eastAsia="zh-CN"/>
        </w:rPr>
        <w:t xml:space="preserve">（8）《中华人民共和国矿产资源法》，2009年8月27日修订； </w:t>
      </w:r>
    </w:p>
    <w:p w14:paraId="6207EF85">
      <w:pPr>
        <w:bidi w:val="0"/>
        <w:rPr>
          <w:rFonts w:hint="eastAsia"/>
          <w:lang w:val="en-US" w:eastAsia="zh-CN"/>
        </w:rPr>
      </w:pPr>
      <w:r>
        <w:rPr>
          <w:rFonts w:hint="eastAsia"/>
          <w:lang w:val="en-US" w:eastAsia="zh-CN"/>
        </w:rPr>
        <w:t xml:space="preserve">（9）《基本农田保护条例》，2011年1月8日修正； </w:t>
      </w:r>
    </w:p>
    <w:p w14:paraId="6B7AE298">
      <w:pPr>
        <w:bidi w:val="0"/>
        <w:rPr>
          <w:rFonts w:hint="eastAsia"/>
          <w:lang w:val="en-US" w:eastAsia="zh-CN"/>
        </w:rPr>
      </w:pPr>
      <w:r>
        <w:rPr>
          <w:rFonts w:hint="eastAsia"/>
          <w:lang w:val="en-US" w:eastAsia="zh-CN"/>
        </w:rPr>
        <w:t xml:space="preserve">（10）《中华人民共和国水法》，2016年7月2日修正； </w:t>
      </w:r>
    </w:p>
    <w:p w14:paraId="5EC13BE7">
      <w:pPr>
        <w:bidi w:val="0"/>
        <w:rPr>
          <w:rFonts w:hint="eastAsia"/>
          <w:lang w:val="en-US" w:eastAsia="zh-CN"/>
        </w:rPr>
      </w:pPr>
      <w:r>
        <w:rPr>
          <w:rFonts w:hint="eastAsia"/>
          <w:lang w:val="en-US" w:eastAsia="zh-CN"/>
        </w:rPr>
        <w:t xml:space="preserve">（11）《中华人民共和国土地管理法》，2019年8月26日修订； </w:t>
      </w:r>
    </w:p>
    <w:p w14:paraId="55330F44">
      <w:pPr>
        <w:bidi w:val="0"/>
        <w:rPr>
          <w:rFonts w:hint="eastAsia"/>
          <w:lang w:val="en-US" w:eastAsia="zh-CN"/>
        </w:rPr>
      </w:pPr>
      <w:r>
        <w:rPr>
          <w:rFonts w:hint="eastAsia"/>
          <w:lang w:val="en-US" w:eastAsia="zh-CN"/>
        </w:rPr>
        <w:t xml:space="preserve">（12）《中华人民共和国防洪法》，2016年7月2日修正； </w:t>
      </w:r>
    </w:p>
    <w:p w14:paraId="51520A79">
      <w:pPr>
        <w:bidi w:val="0"/>
        <w:rPr>
          <w:rFonts w:hint="eastAsia"/>
          <w:lang w:val="en-US" w:eastAsia="zh-CN"/>
        </w:rPr>
      </w:pPr>
      <w:r>
        <w:rPr>
          <w:rFonts w:hint="eastAsia"/>
          <w:lang w:val="en-US" w:eastAsia="zh-CN"/>
        </w:rPr>
        <w:t xml:space="preserve">（13）《中华人民共和国野生动物保护法》，2018年10月26日修正； </w:t>
      </w:r>
    </w:p>
    <w:p w14:paraId="692BEC7B">
      <w:pPr>
        <w:bidi w:val="0"/>
        <w:rPr>
          <w:rFonts w:hint="eastAsia"/>
          <w:lang w:val="en-US" w:eastAsia="zh-CN"/>
        </w:rPr>
      </w:pPr>
      <w:r>
        <w:rPr>
          <w:rFonts w:hint="eastAsia"/>
          <w:lang w:val="en-US" w:eastAsia="zh-CN"/>
        </w:rPr>
        <w:t xml:space="preserve">（14）《建设项目环境保护管理条例》（国务院令第 253 号），2017年7月16日修订； </w:t>
      </w:r>
    </w:p>
    <w:p w14:paraId="413490CC">
      <w:pPr>
        <w:bidi w:val="0"/>
        <w:rPr>
          <w:rFonts w:hint="eastAsia"/>
          <w:lang w:val="en-US" w:eastAsia="zh-CN"/>
        </w:rPr>
      </w:pPr>
      <w:r>
        <w:rPr>
          <w:rFonts w:hint="eastAsia"/>
          <w:lang w:val="en-US" w:eastAsia="zh-CN"/>
        </w:rPr>
        <w:t xml:space="preserve">（15）《全国生态环境建设规划》，1999年1月； </w:t>
      </w:r>
    </w:p>
    <w:p w14:paraId="5A689D93">
      <w:pPr>
        <w:bidi w:val="0"/>
        <w:rPr>
          <w:rFonts w:hint="eastAsia"/>
          <w:lang w:val="en-US" w:eastAsia="zh-CN"/>
        </w:rPr>
      </w:pPr>
      <w:r>
        <w:rPr>
          <w:rFonts w:hint="eastAsia"/>
          <w:lang w:val="en-US" w:eastAsia="zh-CN"/>
        </w:rPr>
        <w:t xml:space="preserve">（16）《全国生态环境保护纲要》，2000年11月26日； </w:t>
      </w:r>
    </w:p>
    <w:p w14:paraId="13C0A74B">
      <w:pPr>
        <w:bidi w:val="0"/>
        <w:rPr>
          <w:rFonts w:hint="eastAsia"/>
          <w:lang w:val="en-US" w:eastAsia="zh-CN"/>
        </w:rPr>
      </w:pPr>
      <w:r>
        <w:rPr>
          <w:rFonts w:hint="eastAsia"/>
          <w:lang w:val="en-US" w:eastAsia="zh-CN"/>
        </w:rPr>
        <w:t xml:space="preserve">（17）《中华人民共和国河道管理条例》，2017年10月7日修正； </w:t>
      </w:r>
    </w:p>
    <w:p w14:paraId="2648103E">
      <w:pPr>
        <w:bidi w:val="0"/>
        <w:rPr>
          <w:rFonts w:hint="eastAsia"/>
          <w:lang w:val="en-US" w:eastAsia="zh-CN"/>
        </w:rPr>
      </w:pPr>
      <w:r>
        <w:rPr>
          <w:rFonts w:hint="eastAsia"/>
          <w:lang w:val="en-US" w:eastAsia="zh-CN"/>
        </w:rPr>
        <w:t xml:space="preserve">（18）《中华人民共和国陆生野生动物保护实施条例》，2016年2月6 日修订； </w:t>
      </w:r>
    </w:p>
    <w:p w14:paraId="6D5A32E0">
      <w:pPr>
        <w:bidi w:val="0"/>
        <w:rPr>
          <w:rFonts w:hint="eastAsia"/>
          <w:lang w:val="en-US" w:eastAsia="zh-CN"/>
        </w:rPr>
      </w:pPr>
      <w:r>
        <w:rPr>
          <w:rFonts w:hint="eastAsia"/>
          <w:lang w:val="en-US" w:eastAsia="zh-CN"/>
        </w:rPr>
        <w:t xml:space="preserve">（19）《中华人民共和国水生野生动物保护实施条例》，2013年12月 7日； </w:t>
      </w:r>
    </w:p>
    <w:p w14:paraId="58B1174D">
      <w:pPr>
        <w:bidi w:val="0"/>
        <w:rPr>
          <w:rFonts w:hint="eastAsia"/>
          <w:lang w:val="en-US" w:eastAsia="zh-CN"/>
        </w:rPr>
      </w:pPr>
      <w:r>
        <w:rPr>
          <w:rFonts w:hint="eastAsia"/>
          <w:lang w:val="en-US" w:eastAsia="zh-CN"/>
        </w:rPr>
        <w:t xml:space="preserve">（20）《中华人民共和国野生植物保护条例》，2017年10月7日修订； </w:t>
      </w:r>
    </w:p>
    <w:p w14:paraId="5EBA22AA">
      <w:pPr>
        <w:bidi w:val="0"/>
        <w:rPr>
          <w:rFonts w:hint="eastAsia"/>
          <w:lang w:val="en-US" w:eastAsia="zh-CN"/>
        </w:rPr>
      </w:pPr>
      <w:r>
        <w:rPr>
          <w:rFonts w:hint="eastAsia"/>
          <w:lang w:val="en-US" w:eastAsia="zh-CN"/>
        </w:rPr>
        <w:t xml:space="preserve">（21）《土地复垦条例》（国务院令第592号），2011年3月5日； </w:t>
      </w:r>
    </w:p>
    <w:p w14:paraId="4C9F641E">
      <w:pPr>
        <w:bidi w:val="0"/>
        <w:rPr>
          <w:rFonts w:hint="eastAsia"/>
          <w:lang w:val="en-US" w:eastAsia="zh-CN"/>
        </w:rPr>
      </w:pPr>
      <w:r>
        <w:rPr>
          <w:rFonts w:hint="eastAsia"/>
          <w:lang w:val="en-US" w:eastAsia="zh-CN"/>
        </w:rPr>
        <w:t xml:space="preserve">（22）《环境影响评价技术导则水利水电工程》（HJ/T 88-2003）； </w:t>
      </w:r>
    </w:p>
    <w:p w14:paraId="3EF3AB3D">
      <w:pPr>
        <w:bidi w:val="0"/>
        <w:rPr>
          <w:rFonts w:hint="eastAsia"/>
          <w:lang w:val="en-US" w:eastAsia="zh-CN"/>
        </w:rPr>
      </w:pPr>
      <w:r>
        <w:rPr>
          <w:rFonts w:hint="eastAsia"/>
          <w:lang w:val="en-US" w:eastAsia="zh-CN"/>
        </w:rPr>
        <w:t xml:space="preserve">（23）《地表水环境质量标准》（GB 3838-2002）； </w:t>
      </w:r>
    </w:p>
    <w:p w14:paraId="4EE19468">
      <w:pPr>
        <w:bidi w:val="0"/>
        <w:rPr>
          <w:rFonts w:hint="eastAsia"/>
          <w:lang w:val="en-US" w:eastAsia="zh-CN"/>
        </w:rPr>
      </w:pPr>
      <w:r>
        <w:rPr>
          <w:rFonts w:hint="eastAsia"/>
          <w:lang w:val="en-US" w:eastAsia="zh-CN"/>
        </w:rPr>
        <w:t xml:space="preserve">（24）《地下水质量标准》（GB/T 14848-2017）； </w:t>
      </w:r>
    </w:p>
    <w:p w14:paraId="7775ADB5">
      <w:pPr>
        <w:bidi w:val="0"/>
        <w:rPr>
          <w:rFonts w:hint="eastAsia"/>
          <w:lang w:val="en-US" w:eastAsia="zh-CN"/>
        </w:rPr>
      </w:pPr>
      <w:r>
        <w:rPr>
          <w:rFonts w:hint="eastAsia"/>
          <w:lang w:val="en-US" w:eastAsia="zh-CN"/>
        </w:rPr>
        <w:t xml:space="preserve">（25）《城市污水再生利用城市杂用水水质》（GB/T 18920-2020）； </w:t>
      </w:r>
    </w:p>
    <w:p w14:paraId="7F3664EA">
      <w:pPr>
        <w:bidi w:val="0"/>
        <w:rPr>
          <w:rFonts w:hint="eastAsia"/>
          <w:lang w:val="en-US" w:eastAsia="zh-CN"/>
        </w:rPr>
      </w:pPr>
      <w:r>
        <w:rPr>
          <w:rFonts w:hint="eastAsia"/>
          <w:lang w:val="en-US" w:eastAsia="zh-CN"/>
        </w:rPr>
        <w:t xml:space="preserve">（26）《农田灌溉水质标准》（GB5084-2021）； </w:t>
      </w:r>
    </w:p>
    <w:p w14:paraId="4C0EC26C">
      <w:pPr>
        <w:bidi w:val="0"/>
        <w:rPr>
          <w:rFonts w:hint="eastAsia"/>
          <w:lang w:val="en-US" w:eastAsia="zh-CN"/>
        </w:rPr>
      </w:pPr>
      <w:r>
        <w:rPr>
          <w:rFonts w:hint="eastAsia"/>
          <w:lang w:val="en-US" w:eastAsia="zh-CN"/>
        </w:rPr>
        <w:t xml:space="preserve">（27）《土壤环境质量建设用地土壤污染风险管控标准》（GB36600-2018）； </w:t>
      </w:r>
    </w:p>
    <w:p w14:paraId="3C8DC676">
      <w:pPr>
        <w:bidi w:val="0"/>
        <w:rPr>
          <w:rFonts w:hint="eastAsia"/>
          <w:lang w:val="en-US" w:eastAsia="zh-CN"/>
        </w:rPr>
      </w:pPr>
      <w:r>
        <w:rPr>
          <w:rFonts w:hint="eastAsia"/>
          <w:lang w:val="en-US" w:eastAsia="zh-CN"/>
        </w:rPr>
        <w:t xml:space="preserve">（28）《环境空气质量标准》（GB 3095-2012）； </w:t>
      </w:r>
    </w:p>
    <w:p w14:paraId="57EB0914">
      <w:pPr>
        <w:bidi w:val="0"/>
        <w:rPr>
          <w:rFonts w:hint="eastAsia"/>
          <w:lang w:val="en-US" w:eastAsia="zh-CN"/>
        </w:rPr>
      </w:pPr>
      <w:r>
        <w:rPr>
          <w:rFonts w:hint="eastAsia"/>
          <w:lang w:val="en-US" w:eastAsia="zh-CN"/>
        </w:rPr>
        <w:t xml:space="preserve">（29）《大气污染物综合排放标准》（GB 16297-1996）； </w:t>
      </w:r>
    </w:p>
    <w:p w14:paraId="40A4E41C">
      <w:pPr>
        <w:bidi w:val="0"/>
        <w:rPr>
          <w:rFonts w:hint="eastAsia"/>
          <w:lang w:val="en-US" w:eastAsia="zh-CN"/>
        </w:rPr>
      </w:pPr>
      <w:r>
        <w:rPr>
          <w:rFonts w:hint="eastAsia"/>
          <w:lang w:val="en-US" w:eastAsia="zh-CN"/>
        </w:rPr>
        <w:t xml:space="preserve">（30）《声环境质量标准》（GB 3096-2008）； </w:t>
      </w:r>
    </w:p>
    <w:p w14:paraId="481E5FD4">
      <w:pPr>
        <w:bidi w:val="0"/>
        <w:rPr>
          <w:rFonts w:hint="eastAsia"/>
          <w:lang w:val="en-US" w:eastAsia="zh-CN"/>
        </w:rPr>
      </w:pPr>
      <w:r>
        <w:rPr>
          <w:rFonts w:hint="eastAsia"/>
          <w:lang w:val="en-US" w:eastAsia="zh-CN"/>
        </w:rPr>
        <w:t xml:space="preserve">（31）《建筑施工场界环境噪声排放标准》（GB 12523-2011）； </w:t>
      </w:r>
    </w:p>
    <w:p w14:paraId="6F958958">
      <w:pPr>
        <w:bidi w:val="0"/>
        <w:rPr>
          <w:rFonts w:hint="eastAsia"/>
          <w:lang w:val="en-US" w:eastAsia="zh-CN"/>
        </w:rPr>
      </w:pPr>
      <w:r>
        <w:rPr>
          <w:rFonts w:hint="eastAsia"/>
          <w:lang w:val="en-US" w:eastAsia="zh-CN"/>
        </w:rPr>
        <w:t xml:space="preserve">（32）《工业企业厂界环境噪声排放标准》（GB 12348-2008）。 </w:t>
      </w:r>
    </w:p>
    <w:p w14:paraId="2F0B973A">
      <w:pPr>
        <w:bidi w:val="0"/>
        <w:rPr>
          <w:rFonts w:hint="eastAsia"/>
          <w:lang w:val="en-US" w:eastAsia="zh-CN"/>
        </w:rPr>
      </w:pPr>
      <w:r>
        <w:rPr>
          <w:rFonts w:hint="eastAsia"/>
          <w:lang w:val="en-US" w:eastAsia="zh-CN"/>
        </w:rPr>
        <w:t xml:space="preserve">以及其它地方性法律法规。 </w:t>
      </w:r>
    </w:p>
    <w:p w14:paraId="168E4BD4">
      <w:pPr>
        <w:pStyle w:val="4"/>
        <w:bidi w:val="0"/>
        <w:rPr>
          <w:rFonts w:hint="eastAsia"/>
          <w:lang w:val="en-US" w:eastAsia="zh-CN"/>
        </w:rPr>
      </w:pPr>
      <w:r>
        <w:rPr>
          <w:rFonts w:hint="eastAsia"/>
          <w:lang w:val="en-US" w:eastAsia="zh-CN"/>
        </w:rPr>
        <w:t xml:space="preserve">6.1.2 保护标准以及目标 </w:t>
      </w:r>
    </w:p>
    <w:p w14:paraId="06DB12D5">
      <w:pPr>
        <w:bidi w:val="0"/>
        <w:rPr>
          <w:rFonts w:hint="eastAsia"/>
          <w:b/>
          <w:bCs/>
          <w:lang w:val="en-US" w:eastAsia="zh-CN"/>
        </w:rPr>
      </w:pPr>
      <w:r>
        <w:rPr>
          <w:rFonts w:hint="eastAsia"/>
          <w:b/>
          <w:bCs/>
          <w:lang w:val="en-US" w:eastAsia="zh-CN"/>
        </w:rPr>
        <w:t xml:space="preserve">（1）水环境 </w:t>
      </w:r>
    </w:p>
    <w:p w14:paraId="5EF280B2">
      <w:pPr>
        <w:bidi w:val="0"/>
        <w:rPr>
          <w:rFonts w:hint="eastAsia"/>
          <w:lang w:val="en-US" w:eastAsia="zh-CN"/>
        </w:rPr>
      </w:pPr>
      <w:r>
        <w:rPr>
          <w:rFonts w:hint="eastAsia"/>
          <w:lang w:val="en-US" w:eastAsia="zh-CN"/>
        </w:rPr>
        <w:t>环境标准：本工程主要涉及</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 xml:space="preserve">内河道及现状灌溉渠系，执行《地表水环境质量标准》Ⅳ类标准。 </w:t>
      </w:r>
    </w:p>
    <w:p w14:paraId="67549C89">
      <w:pPr>
        <w:bidi w:val="0"/>
        <w:rPr>
          <w:rFonts w:hint="eastAsia"/>
          <w:lang w:val="en-US" w:eastAsia="zh-CN"/>
        </w:rPr>
      </w:pPr>
      <w:r>
        <w:rPr>
          <w:rFonts w:hint="eastAsia"/>
          <w:lang w:val="en-US" w:eastAsia="zh-CN"/>
        </w:rPr>
        <w:t xml:space="preserve">保护目标：主要为工程涉及的河道及现状灌溉渠系等。 </w:t>
      </w:r>
    </w:p>
    <w:p w14:paraId="70091181">
      <w:pPr>
        <w:bidi w:val="0"/>
        <w:rPr>
          <w:rFonts w:hint="eastAsia"/>
          <w:lang w:val="en-US" w:eastAsia="zh-CN"/>
        </w:rPr>
      </w:pPr>
      <w:r>
        <w:rPr>
          <w:rFonts w:hint="eastAsia"/>
          <w:lang w:val="en-US" w:eastAsia="zh-CN"/>
        </w:rPr>
        <w:t xml:space="preserve">保护要求：改善水体水质，防止工程施工对其水环境造成影响。区内河道执行《地表水环境质量标准》（GB 3838-2002）Ⅳ类标准。施工期生产废水经处理达到《城市污水再生利用城市杂用水水质》（GB/T 18920-2020）后回用；施工期生活污水由防渗旱厕收集，环卫部门定期清运。施工期生产废水均经处理达到《城市污水再生利用城市杂用水水质》（GB/T 18920-2020）后回用，运行期和施工期生活污水经防渗旱厕收集后由环卫部门定期清运。 </w:t>
      </w:r>
    </w:p>
    <w:p w14:paraId="66486B24">
      <w:pPr>
        <w:bidi w:val="0"/>
        <w:rPr>
          <w:rFonts w:hint="eastAsia"/>
          <w:b/>
          <w:bCs/>
          <w:lang w:val="en-US" w:eastAsia="zh-CN"/>
        </w:rPr>
      </w:pPr>
      <w:r>
        <w:rPr>
          <w:rFonts w:hint="eastAsia"/>
          <w:b/>
          <w:bCs/>
          <w:lang w:val="en-US" w:eastAsia="zh-CN"/>
        </w:rPr>
        <w:t xml:space="preserve">（2）土壤环境 </w:t>
      </w:r>
    </w:p>
    <w:p w14:paraId="52A16010">
      <w:pPr>
        <w:bidi w:val="0"/>
        <w:rPr>
          <w:rFonts w:hint="eastAsia"/>
          <w:lang w:val="en-US" w:eastAsia="zh-CN"/>
        </w:rPr>
      </w:pPr>
      <w:r>
        <w:rPr>
          <w:rFonts w:hint="eastAsia"/>
          <w:lang w:val="en-US" w:eastAsia="zh-CN"/>
        </w:rPr>
        <w:t xml:space="preserve">环境标准：工程内容主要为农田建设，土壤评价标准执行《土壤环境质量建设用地土壤污染风险管控标准》（GB36600-2018）第二类用地筛选值。 </w:t>
      </w:r>
    </w:p>
    <w:p w14:paraId="27B1B590">
      <w:pPr>
        <w:bidi w:val="0"/>
        <w:rPr>
          <w:rFonts w:hint="eastAsia"/>
          <w:b/>
          <w:bCs/>
          <w:lang w:val="en-US" w:eastAsia="zh-CN"/>
        </w:rPr>
      </w:pPr>
      <w:r>
        <w:rPr>
          <w:rFonts w:hint="eastAsia"/>
          <w:b/>
          <w:bCs/>
          <w:lang w:val="en-US" w:eastAsia="zh-CN"/>
        </w:rPr>
        <w:t xml:space="preserve">（3）环境空气与声环境 </w:t>
      </w:r>
    </w:p>
    <w:p w14:paraId="315D340F">
      <w:pPr>
        <w:bidi w:val="0"/>
        <w:rPr>
          <w:rFonts w:hint="eastAsia"/>
          <w:lang w:val="en-US" w:eastAsia="zh-CN"/>
        </w:rPr>
      </w:pPr>
      <w:r>
        <w:rPr>
          <w:rFonts w:hint="eastAsia"/>
          <w:lang w:val="en-US" w:eastAsia="zh-CN"/>
        </w:rPr>
        <w:t xml:space="preserve">环境标准：本工程施工期和运行期环境空气执行《环境空气质量标准》 （GB3095-2012）中二级标准。 </w:t>
      </w:r>
    </w:p>
    <w:p w14:paraId="4903F476">
      <w:pPr>
        <w:bidi w:val="0"/>
        <w:rPr>
          <w:rFonts w:hint="eastAsia"/>
          <w:lang w:val="en-US" w:eastAsia="zh-CN"/>
        </w:rPr>
      </w:pPr>
      <w:r>
        <w:rPr>
          <w:rFonts w:hint="eastAsia"/>
          <w:lang w:val="en-US" w:eastAsia="zh-CN"/>
        </w:rPr>
        <w:t xml:space="preserve">保护目标：工程区周围敏感点，主要为水源工程及施工区周边 200m范围内的居民点。 </w:t>
      </w:r>
    </w:p>
    <w:p w14:paraId="685E9FD5">
      <w:pPr>
        <w:bidi w:val="0"/>
        <w:rPr>
          <w:rFonts w:hint="eastAsia"/>
          <w:lang w:val="en-US" w:eastAsia="zh-CN"/>
        </w:rPr>
      </w:pPr>
      <w:r>
        <w:rPr>
          <w:rFonts w:hint="eastAsia"/>
          <w:lang w:val="en-US" w:eastAsia="zh-CN"/>
        </w:rPr>
        <w:t xml:space="preserve">保护要求：加强施工管理，对施工期的噪声污染源进行治理，使施工区符合《建筑施工场界环境噪声排放标准》（GB 12523-2011）；施工期噪声执行《建筑施工场界环境噪声排放标准》（GB 12523-2011）（昼间70dB（A），夜间55dB（A））。对施工期大气污染源进行控制和治理，大气污染物排放达到《大气污染物综合排放标准》 （GB16297-1996）中无组织排放监控浓度限值标准，使工程建设区及周围居民区环境空气质量达到《环境空气质量标准》（GB3095-2012）二级标准。施工期废气排放执行《大气污染物综合排放标准》（GB16297-1996）中的无组织排放监控浓度限值。施工期噪声排放执行《建筑施工场界环境噪声排放标准》（GB12523-2011）。 </w:t>
      </w:r>
    </w:p>
    <w:p w14:paraId="67A14BF8">
      <w:pPr>
        <w:bidi w:val="0"/>
        <w:rPr>
          <w:rFonts w:hint="eastAsia"/>
          <w:b/>
          <w:bCs/>
          <w:lang w:val="en-US" w:eastAsia="zh-CN"/>
        </w:rPr>
      </w:pPr>
      <w:r>
        <w:rPr>
          <w:rFonts w:hint="eastAsia"/>
          <w:b/>
          <w:bCs/>
          <w:lang w:val="en-US" w:eastAsia="zh-CN"/>
        </w:rPr>
        <w:t xml:space="preserve">（4）生态环境保护目标 </w:t>
      </w:r>
    </w:p>
    <w:p w14:paraId="0300E7D1">
      <w:pPr>
        <w:bidi w:val="0"/>
        <w:rPr>
          <w:rFonts w:hint="eastAsia"/>
          <w:lang w:val="en-US" w:eastAsia="zh-CN"/>
        </w:rPr>
      </w:pPr>
      <w:r>
        <w:rPr>
          <w:rFonts w:hint="eastAsia"/>
          <w:lang w:val="en-US" w:eastAsia="zh-CN"/>
        </w:rPr>
        <w:t xml:space="preserve">保护目标：区域生态系统、野生动植物和鱼类等。 </w:t>
      </w:r>
    </w:p>
    <w:p w14:paraId="78A90698">
      <w:pPr>
        <w:bidi w:val="0"/>
        <w:rPr>
          <w:rFonts w:hint="eastAsia"/>
          <w:lang w:val="en-US" w:eastAsia="zh-CN"/>
        </w:rPr>
      </w:pPr>
      <w:r>
        <w:rPr>
          <w:rFonts w:hint="eastAsia"/>
          <w:lang w:val="en-US" w:eastAsia="zh-CN"/>
        </w:rPr>
        <w:t xml:space="preserve">保护要求：保护工程所在区域生态系统的完整性，保障野生动物和水生生物如鱼类等种群的延续；尽量减少对植被、水体和土壤的破坏，施工结束后及时进行植被恢复。 </w:t>
      </w:r>
    </w:p>
    <w:p w14:paraId="36788899">
      <w:pPr>
        <w:pStyle w:val="4"/>
        <w:bidi w:val="0"/>
        <w:rPr>
          <w:rFonts w:hint="eastAsia"/>
          <w:lang w:val="en-US" w:eastAsia="zh-CN"/>
        </w:rPr>
      </w:pPr>
      <w:r>
        <w:rPr>
          <w:rFonts w:hint="eastAsia"/>
          <w:lang w:val="en-US" w:eastAsia="zh-CN"/>
        </w:rPr>
        <w:t xml:space="preserve">6.1.3 环境影响预测与评价 </w:t>
      </w:r>
    </w:p>
    <w:p w14:paraId="60497B6B">
      <w:pPr>
        <w:bidi w:val="0"/>
        <w:rPr>
          <w:rFonts w:hint="eastAsia"/>
          <w:b/>
          <w:bCs/>
          <w:lang w:val="en-US" w:eastAsia="zh-CN"/>
        </w:rPr>
      </w:pPr>
      <w:r>
        <w:rPr>
          <w:rFonts w:hint="eastAsia"/>
          <w:b/>
          <w:bCs/>
          <w:lang w:val="en-US" w:eastAsia="zh-CN"/>
        </w:rPr>
        <w:t xml:space="preserve">（1）对水环境的影响 </w:t>
      </w:r>
    </w:p>
    <w:p w14:paraId="4CE3030B">
      <w:pPr>
        <w:bidi w:val="0"/>
        <w:rPr>
          <w:rFonts w:hint="eastAsia"/>
          <w:lang w:val="en-US" w:eastAsia="zh-CN"/>
        </w:rPr>
      </w:pPr>
      <w:r>
        <w:rPr>
          <w:rFonts w:hint="eastAsia"/>
          <w:lang w:val="en-US" w:eastAsia="zh-CN"/>
        </w:rPr>
        <w:t xml:space="preserve">1）施工期 </w:t>
      </w:r>
    </w:p>
    <w:p w14:paraId="23507748">
      <w:pPr>
        <w:bidi w:val="0"/>
        <w:rPr>
          <w:rFonts w:hint="eastAsia"/>
          <w:lang w:val="en-US" w:eastAsia="zh-CN"/>
        </w:rPr>
      </w:pPr>
      <w:r>
        <w:rPr>
          <w:rFonts w:hint="eastAsia"/>
          <w:lang w:val="en-US" w:eastAsia="zh-CN"/>
        </w:rPr>
        <w:t xml:space="preserve">施工期的污废水包括生产废水和生活污水。在施工区内只设小型车辆机修站，负责机械设备和车辆的日常维护和修理，将产生一定量的机修废水。工程施工导流将产生基 坑排水，基坑排水包括初期排水及经常性排水。因此，本工程施工期主要将产生机修废水、基坑排水、生活污水等。 </w:t>
      </w:r>
    </w:p>
    <w:p w14:paraId="5FA32671">
      <w:pPr>
        <w:bidi w:val="0"/>
        <w:rPr>
          <w:rFonts w:hint="eastAsia"/>
          <w:lang w:val="en-US" w:eastAsia="zh-CN"/>
        </w:rPr>
      </w:pPr>
      <w:r>
        <w:rPr>
          <w:rFonts w:hint="eastAsia"/>
          <w:lang w:val="en-US" w:eastAsia="zh-CN"/>
        </w:rPr>
        <w:t xml:space="preserve">2）运行期 </w:t>
      </w:r>
    </w:p>
    <w:p w14:paraId="425904C1">
      <w:pPr>
        <w:bidi w:val="0"/>
        <w:rPr>
          <w:rFonts w:hint="eastAsia"/>
          <w:lang w:val="en-US" w:eastAsia="zh-CN"/>
        </w:rPr>
      </w:pPr>
      <w:r>
        <w:rPr>
          <w:rFonts w:hint="eastAsia"/>
          <w:lang w:val="en-US" w:eastAsia="zh-CN"/>
        </w:rPr>
        <w:t xml:space="preserve">本工程运行期不产生污废水。 </w:t>
      </w:r>
    </w:p>
    <w:p w14:paraId="6834F8B3">
      <w:pPr>
        <w:bidi w:val="0"/>
        <w:rPr>
          <w:rFonts w:hint="eastAsia"/>
          <w:b/>
          <w:bCs/>
          <w:lang w:val="en-US" w:eastAsia="zh-CN"/>
        </w:rPr>
      </w:pPr>
      <w:r>
        <w:rPr>
          <w:rFonts w:hint="eastAsia"/>
          <w:b/>
          <w:bCs/>
          <w:lang w:val="en-US" w:eastAsia="zh-CN"/>
        </w:rPr>
        <w:t xml:space="preserve">（2）对环境空气及噪声的影响 </w:t>
      </w:r>
    </w:p>
    <w:p w14:paraId="10C7604C">
      <w:pPr>
        <w:bidi w:val="0"/>
        <w:rPr>
          <w:rFonts w:hint="eastAsia"/>
          <w:lang w:val="en-US" w:eastAsia="zh-CN"/>
        </w:rPr>
      </w:pPr>
      <w:r>
        <w:rPr>
          <w:rFonts w:hint="eastAsia"/>
          <w:lang w:val="en-US" w:eastAsia="zh-CN"/>
        </w:rPr>
        <w:t xml:space="preserve">施工开挖、交通运输等施工作业造成的扬尘，可能对周边环境空气造成一定影响。因此，应采取相应的环保措施降低粉尘和扬尘的影响。 </w:t>
      </w:r>
    </w:p>
    <w:p w14:paraId="12DF6296">
      <w:pPr>
        <w:bidi w:val="0"/>
        <w:rPr>
          <w:rFonts w:hint="eastAsia"/>
          <w:lang w:val="en-US" w:eastAsia="zh-CN"/>
        </w:rPr>
      </w:pPr>
      <w:r>
        <w:rPr>
          <w:rFonts w:hint="eastAsia"/>
          <w:lang w:val="en-US" w:eastAsia="zh-CN"/>
        </w:rPr>
        <w:t xml:space="preserve">本工程施工期噪声源主要包括土石方开挖噪声、机械设备运行噪声、交通运输车辆噪声、隧洞爆破声等，污染源强较高，对周边一定范围内的居民区声环境可能造成影响。因此，需采取相应措施减缓噪声影响，如在施工区周边设置隔声屏障。 </w:t>
      </w:r>
    </w:p>
    <w:p w14:paraId="1E8FEF27">
      <w:pPr>
        <w:bidi w:val="0"/>
        <w:rPr>
          <w:rFonts w:hint="eastAsia"/>
          <w:lang w:val="en-US" w:eastAsia="zh-CN"/>
        </w:rPr>
      </w:pPr>
      <w:r>
        <w:rPr>
          <w:rFonts w:hint="eastAsia"/>
          <w:lang w:val="en-US" w:eastAsia="zh-CN"/>
        </w:rPr>
        <w:t xml:space="preserve">本工程运行期无噪声影响。 </w:t>
      </w:r>
    </w:p>
    <w:p w14:paraId="1A4F76FE">
      <w:pPr>
        <w:bidi w:val="0"/>
        <w:rPr>
          <w:rFonts w:hint="eastAsia"/>
          <w:b/>
          <w:bCs/>
          <w:lang w:val="en-US" w:eastAsia="zh-CN"/>
        </w:rPr>
      </w:pPr>
      <w:r>
        <w:rPr>
          <w:rFonts w:hint="eastAsia"/>
          <w:b/>
          <w:bCs/>
          <w:lang w:val="en-US" w:eastAsia="zh-CN"/>
        </w:rPr>
        <w:t xml:space="preserve">（3）固体废物处置影响 </w:t>
      </w:r>
    </w:p>
    <w:p w14:paraId="1E889121">
      <w:pPr>
        <w:bidi w:val="0"/>
        <w:rPr>
          <w:rFonts w:hint="eastAsia"/>
          <w:lang w:val="en-US" w:eastAsia="zh-CN"/>
        </w:rPr>
      </w:pPr>
      <w:r>
        <w:rPr>
          <w:rFonts w:hint="eastAsia"/>
          <w:lang w:val="en-US" w:eastAsia="zh-CN"/>
        </w:rPr>
        <w:t xml:space="preserve">1）施工期 </w:t>
      </w:r>
    </w:p>
    <w:p w14:paraId="39A082ED">
      <w:pPr>
        <w:bidi w:val="0"/>
        <w:rPr>
          <w:rFonts w:hint="eastAsia"/>
          <w:lang w:val="en-US" w:eastAsia="zh-CN"/>
        </w:rPr>
      </w:pPr>
      <w:r>
        <w:rPr>
          <w:rFonts w:hint="eastAsia"/>
          <w:lang w:val="en-US" w:eastAsia="zh-CN"/>
        </w:rPr>
        <w:t xml:space="preserve">施工期固体废物主要为施工人员生活垃圾、弃渣。工程施工开挖产生一定量的弃渣，应及时堆置指定的弃渣场，并采取相应的工程措施和植物措施防止流失。 </w:t>
      </w:r>
    </w:p>
    <w:p w14:paraId="259853F5">
      <w:pPr>
        <w:bidi w:val="0"/>
        <w:rPr>
          <w:rFonts w:hint="eastAsia"/>
          <w:lang w:val="en-US" w:eastAsia="zh-CN"/>
        </w:rPr>
      </w:pPr>
      <w:r>
        <w:rPr>
          <w:rFonts w:hint="eastAsia"/>
          <w:lang w:val="en-US" w:eastAsia="zh-CN"/>
        </w:rPr>
        <w:t xml:space="preserve">2）运行期 </w:t>
      </w:r>
    </w:p>
    <w:p w14:paraId="7EDE472E">
      <w:pPr>
        <w:bidi w:val="0"/>
        <w:rPr>
          <w:rFonts w:hint="eastAsia"/>
          <w:lang w:val="en-US" w:eastAsia="zh-CN"/>
        </w:rPr>
      </w:pPr>
      <w:r>
        <w:rPr>
          <w:rFonts w:hint="eastAsia"/>
          <w:lang w:val="en-US" w:eastAsia="zh-CN"/>
        </w:rPr>
        <w:t xml:space="preserve">运行期本工程无固体废物产生。 </w:t>
      </w:r>
    </w:p>
    <w:p w14:paraId="07361EA6">
      <w:pPr>
        <w:bidi w:val="0"/>
        <w:rPr>
          <w:rFonts w:hint="eastAsia"/>
          <w:b/>
          <w:bCs/>
          <w:lang w:val="en-US" w:eastAsia="zh-CN"/>
        </w:rPr>
      </w:pPr>
      <w:r>
        <w:rPr>
          <w:rFonts w:hint="eastAsia"/>
          <w:b/>
          <w:bCs/>
          <w:lang w:val="en-US" w:eastAsia="zh-CN"/>
        </w:rPr>
        <w:t xml:space="preserve">（4）对生态环境的影响 </w:t>
      </w:r>
    </w:p>
    <w:p w14:paraId="6D87CB35">
      <w:pPr>
        <w:bidi w:val="0"/>
        <w:rPr>
          <w:rFonts w:hint="eastAsia"/>
          <w:lang w:val="en-US" w:eastAsia="zh-CN"/>
        </w:rPr>
      </w:pPr>
      <w:r>
        <w:rPr>
          <w:rFonts w:hint="eastAsia"/>
          <w:lang w:val="en-US" w:eastAsia="zh-CN"/>
        </w:rPr>
        <w:t xml:space="preserve">根据现场调查，工程沿线未发现珍稀保护植物和古树名木，因此，工程建设对生态环境影响较小。施工结束后将及时恢复原有植被，进一步减缓生态影响。 </w:t>
      </w:r>
    </w:p>
    <w:p w14:paraId="198F95CF">
      <w:pPr>
        <w:bidi w:val="0"/>
        <w:rPr>
          <w:rFonts w:hint="eastAsia"/>
          <w:lang w:val="en-US" w:eastAsia="zh-CN"/>
        </w:rPr>
      </w:pPr>
      <w:r>
        <w:rPr>
          <w:rFonts w:hint="eastAsia"/>
          <w:lang w:val="en-US" w:eastAsia="zh-CN"/>
        </w:rPr>
        <w:t xml:space="preserve">根据现场调查，工程区人员活动频繁，主要动物为小型种类，如鼠类、鸟类、两栖类等，未发现有珍稀保护动物。野生动物适应能力较强，工程施工时会自行转移至周边适生环境，因此，工程建设对野生动物影响不大。 </w:t>
      </w:r>
    </w:p>
    <w:p w14:paraId="3935766C">
      <w:pPr>
        <w:bidi w:val="0"/>
        <w:rPr>
          <w:rFonts w:hint="eastAsia"/>
          <w:lang w:val="en-US" w:eastAsia="zh-CN"/>
        </w:rPr>
      </w:pPr>
      <w:r>
        <w:rPr>
          <w:rFonts w:hint="eastAsia"/>
          <w:lang w:val="en-US" w:eastAsia="zh-CN"/>
        </w:rPr>
        <w:t xml:space="preserve">工程涉及河流主要为区内河道。现阶段未发现有珍稀保护鱼类。工程施工期污废水均经处理后回用，不排放，对水生环境无影响，因此，对水生生物尤其是鱼类影响不大。 </w:t>
      </w:r>
    </w:p>
    <w:p w14:paraId="7A22FF51">
      <w:pPr>
        <w:bidi w:val="0"/>
        <w:rPr>
          <w:rFonts w:hint="eastAsia"/>
          <w:lang w:val="en-US" w:eastAsia="zh-CN"/>
        </w:rPr>
      </w:pPr>
      <w:r>
        <w:rPr>
          <w:rFonts w:hint="eastAsia"/>
          <w:lang w:val="en-US" w:eastAsia="zh-CN"/>
        </w:rPr>
        <w:t xml:space="preserve">临时围堰施工时将对局部水域及其水生环境带来影响，但临时围堰在枯水期进行施工，涉及范围较小。因此，工程施工时间较短，范围较小，影响不大。工程建成后，有利于河道水生生态环境的改善。 </w:t>
      </w:r>
    </w:p>
    <w:p w14:paraId="6903E848">
      <w:pPr>
        <w:pStyle w:val="4"/>
        <w:bidi w:val="0"/>
        <w:rPr>
          <w:rFonts w:hint="eastAsia"/>
          <w:lang w:val="en-US" w:eastAsia="zh-CN"/>
        </w:rPr>
      </w:pPr>
      <w:r>
        <w:rPr>
          <w:rFonts w:hint="eastAsia"/>
          <w:lang w:val="en-US" w:eastAsia="zh-CN"/>
        </w:rPr>
        <w:t xml:space="preserve">6.1.4 环境保护措施 </w:t>
      </w:r>
    </w:p>
    <w:p w14:paraId="05485DCB">
      <w:pPr>
        <w:bidi w:val="0"/>
        <w:rPr>
          <w:rFonts w:hint="eastAsia"/>
          <w:b/>
          <w:bCs/>
          <w:lang w:val="en-US" w:eastAsia="zh-CN"/>
        </w:rPr>
      </w:pPr>
      <w:r>
        <w:rPr>
          <w:rFonts w:hint="eastAsia"/>
          <w:b/>
          <w:bCs/>
          <w:lang w:val="en-US" w:eastAsia="zh-CN"/>
        </w:rPr>
        <w:t xml:space="preserve">（1）水环境保护 </w:t>
      </w:r>
    </w:p>
    <w:p w14:paraId="7BA0A451">
      <w:pPr>
        <w:bidi w:val="0"/>
        <w:rPr>
          <w:rFonts w:hint="eastAsia"/>
          <w:lang w:val="en-US" w:eastAsia="zh-CN"/>
        </w:rPr>
      </w:pPr>
      <w:r>
        <w:rPr>
          <w:rFonts w:hint="eastAsia"/>
          <w:lang w:val="en-US" w:eastAsia="zh-CN"/>
        </w:rPr>
        <w:t xml:space="preserve">施工期的污废水包括生产废水和生活污水。 </w:t>
      </w:r>
    </w:p>
    <w:p w14:paraId="2A997116">
      <w:pPr>
        <w:bidi w:val="0"/>
        <w:rPr>
          <w:rFonts w:hint="eastAsia"/>
          <w:lang w:val="en-US" w:eastAsia="zh-CN"/>
        </w:rPr>
      </w:pPr>
      <w:r>
        <w:rPr>
          <w:rFonts w:hint="eastAsia"/>
          <w:lang w:val="en-US" w:eastAsia="zh-CN"/>
        </w:rPr>
        <w:t xml:space="preserve">在施工区内只设小型车辆机修站，负责机械设备和车辆的日常维护和修理，将产生一定量的机修废水。 </w:t>
      </w:r>
    </w:p>
    <w:p w14:paraId="552D469C">
      <w:pPr>
        <w:bidi w:val="0"/>
        <w:rPr>
          <w:rFonts w:hint="eastAsia"/>
          <w:lang w:val="en-US" w:eastAsia="zh-CN"/>
        </w:rPr>
      </w:pPr>
      <w:r>
        <w:rPr>
          <w:rFonts w:hint="eastAsia"/>
          <w:lang w:val="en-US" w:eastAsia="zh-CN"/>
        </w:rPr>
        <w:t xml:space="preserve">为节约水资源，减少施工用水量，建议各类施工生产废水经处理后回用，其中生活污水经旱厕收集后由环卫部门定期清运。混凝土系统冲洗废水经沉淀处理后回用于场地洒水。机修废水经处理后，清水回用于场地洒水。 </w:t>
      </w:r>
    </w:p>
    <w:p w14:paraId="54337243">
      <w:pPr>
        <w:bidi w:val="0"/>
        <w:rPr>
          <w:rFonts w:hint="eastAsia"/>
          <w:b/>
          <w:bCs/>
          <w:lang w:val="en-US" w:eastAsia="zh-CN"/>
        </w:rPr>
      </w:pPr>
      <w:r>
        <w:rPr>
          <w:rFonts w:hint="eastAsia"/>
          <w:b/>
          <w:bCs/>
          <w:lang w:val="en-US" w:eastAsia="zh-CN"/>
        </w:rPr>
        <w:t xml:space="preserve">（2）生态环境保护 </w:t>
      </w:r>
    </w:p>
    <w:p w14:paraId="7D2CE060">
      <w:pPr>
        <w:bidi w:val="0"/>
        <w:rPr>
          <w:rFonts w:hint="eastAsia"/>
          <w:lang w:val="en-US" w:eastAsia="zh-CN"/>
        </w:rPr>
      </w:pPr>
      <w:r>
        <w:rPr>
          <w:rFonts w:hint="eastAsia"/>
          <w:lang w:val="en-US" w:eastAsia="zh-CN"/>
        </w:rPr>
        <w:t xml:space="preserve">1）加强对施工人员的环保意识教育，不乱伐树木，特别是不得砍伐工程永久占地和临时占地外的树木，若因工程需要不得不砍伐，应按有关规定实施赔偿。 </w:t>
      </w:r>
    </w:p>
    <w:p w14:paraId="22530762">
      <w:pPr>
        <w:bidi w:val="0"/>
        <w:rPr>
          <w:rFonts w:hint="eastAsia"/>
          <w:lang w:val="en-US" w:eastAsia="zh-CN"/>
        </w:rPr>
      </w:pPr>
      <w:r>
        <w:rPr>
          <w:rFonts w:hint="eastAsia"/>
          <w:lang w:val="en-US" w:eastAsia="zh-CN"/>
        </w:rPr>
        <w:t xml:space="preserve">2）合理安排施工计划，建议减少临时占地时间，施工完毕立即恢复植被或复垦。 </w:t>
      </w:r>
    </w:p>
    <w:p w14:paraId="0C9BB3A2">
      <w:pPr>
        <w:bidi w:val="0"/>
        <w:rPr>
          <w:rFonts w:hint="eastAsia"/>
          <w:lang w:val="en-US" w:eastAsia="zh-CN"/>
        </w:rPr>
      </w:pPr>
      <w:r>
        <w:rPr>
          <w:rFonts w:hint="eastAsia"/>
          <w:lang w:val="en-US" w:eastAsia="zh-CN"/>
        </w:rPr>
        <w:t xml:space="preserve">3）施工结束后，及时拆除临时施工设施和生活设施，并对施工场地进行彻底清理。结合水保植物措施和景观设计进行绿化，绿化率达到 30%以上。生态环境保护措施主要体现在水土保持措施中。 </w:t>
      </w:r>
    </w:p>
    <w:p w14:paraId="2E099CFD">
      <w:pPr>
        <w:bidi w:val="0"/>
        <w:rPr>
          <w:rFonts w:hint="eastAsia"/>
          <w:lang w:val="en-US" w:eastAsia="zh-CN"/>
        </w:rPr>
      </w:pPr>
      <w:r>
        <w:rPr>
          <w:rFonts w:hint="eastAsia"/>
          <w:lang w:val="en-US" w:eastAsia="zh-CN"/>
        </w:rPr>
        <w:t xml:space="preserve">4）严格执行水土保持方案报告书中所提出的水保措施。根据水保方案，本工程采取的水土保持措施主要有临时排水沉沙、护岸边坡临时苫盖和植被恢复措施等。 </w:t>
      </w:r>
    </w:p>
    <w:p w14:paraId="5812997A">
      <w:pPr>
        <w:bidi w:val="0"/>
        <w:rPr>
          <w:rFonts w:hint="eastAsia"/>
          <w:lang w:val="en-US" w:eastAsia="zh-CN"/>
        </w:rPr>
      </w:pPr>
      <w:r>
        <w:rPr>
          <w:rFonts w:hint="eastAsia"/>
          <w:lang w:val="en-US" w:eastAsia="zh-CN"/>
        </w:rPr>
        <w:t xml:space="preserve">5）建议在枯水期施工，减缓对所涉河段水生生态的影响。 </w:t>
      </w:r>
    </w:p>
    <w:p w14:paraId="27C87F96">
      <w:pPr>
        <w:bidi w:val="0"/>
        <w:rPr>
          <w:rFonts w:hint="eastAsia"/>
          <w:b/>
          <w:bCs/>
          <w:lang w:val="en-US" w:eastAsia="zh-CN"/>
        </w:rPr>
      </w:pPr>
      <w:r>
        <w:rPr>
          <w:rFonts w:hint="eastAsia"/>
          <w:b/>
          <w:bCs/>
          <w:lang w:val="en-US" w:eastAsia="zh-CN"/>
        </w:rPr>
        <w:t xml:space="preserve">（3）固体废弃物处置 </w:t>
      </w:r>
    </w:p>
    <w:p w14:paraId="4CBC1FB3">
      <w:pPr>
        <w:bidi w:val="0"/>
        <w:rPr>
          <w:rFonts w:hint="eastAsia"/>
          <w:lang w:val="en-US" w:eastAsia="zh-CN"/>
        </w:rPr>
      </w:pPr>
      <w:r>
        <w:rPr>
          <w:rFonts w:hint="eastAsia"/>
          <w:lang w:val="en-US" w:eastAsia="zh-CN"/>
        </w:rPr>
        <w:t xml:space="preserve">1）在各个施工生活区设置垃圾箱，施工人员生活垃圾集中堆放，及时清运，统一处理，纳入当地城市垃圾收集系统。建议采用合同形式委托当地环卫部门实施。 </w:t>
      </w:r>
    </w:p>
    <w:p w14:paraId="4E65F0D9">
      <w:pPr>
        <w:bidi w:val="0"/>
        <w:rPr>
          <w:rFonts w:hint="eastAsia"/>
          <w:lang w:val="en-US" w:eastAsia="zh-CN"/>
        </w:rPr>
      </w:pPr>
      <w:r>
        <w:rPr>
          <w:rFonts w:hint="eastAsia"/>
          <w:lang w:val="en-US" w:eastAsia="zh-CN"/>
        </w:rPr>
        <w:t xml:space="preserve">2）施工结束后，及时清除临时施工道路的泥结石路面以及各个临时施工场地的砼路面，恢复原貌，建筑垃圾应及时清运垃圾填埋场填埋处理。 </w:t>
      </w:r>
    </w:p>
    <w:p w14:paraId="24184FF7">
      <w:pPr>
        <w:bidi w:val="0"/>
        <w:rPr>
          <w:rFonts w:hint="eastAsia"/>
          <w:lang w:val="en-US" w:eastAsia="zh-CN"/>
        </w:rPr>
      </w:pPr>
      <w:r>
        <w:rPr>
          <w:rFonts w:hint="eastAsia"/>
          <w:lang w:val="en-US" w:eastAsia="zh-CN"/>
        </w:rPr>
        <w:t xml:space="preserve">3）弃渣可以结合低洼地回填利用一部分，其他集中堆放施工区附近的弃渣场内，弃渣场地选择须经当地土地及环保部门审批确定，主要布置在沿线低洼地，尽可能改造为耕地，部分弃渣场地经平整后可作为施工场地使用。各弃渣场修建有挡渣和排水设施，以防止水土流失。 </w:t>
      </w:r>
    </w:p>
    <w:p w14:paraId="6B7F3B15">
      <w:pPr>
        <w:bidi w:val="0"/>
        <w:rPr>
          <w:rFonts w:hint="eastAsia"/>
          <w:lang w:val="en-US" w:eastAsia="zh-CN"/>
        </w:rPr>
      </w:pPr>
      <w:r>
        <w:rPr>
          <w:rFonts w:hint="eastAsia"/>
          <w:lang w:val="en-US" w:eastAsia="zh-CN"/>
        </w:rPr>
        <w:t xml:space="preserve">4）对于施工人员产生的生活垃圾，应采用定点收集方式，设立专门的容器加以收集，并及时由建设单位与当地环卫部门联系，明确转运场所，指定专人进行清运。生活垃圾与建筑垃圾分开堆放，及时清理，无污染环境的现象发生。 </w:t>
      </w:r>
    </w:p>
    <w:p w14:paraId="60C7538F">
      <w:pPr>
        <w:bidi w:val="0"/>
        <w:rPr>
          <w:rFonts w:hint="eastAsia"/>
          <w:b/>
          <w:bCs/>
          <w:lang w:val="en-US" w:eastAsia="zh-CN"/>
        </w:rPr>
      </w:pPr>
      <w:r>
        <w:rPr>
          <w:rFonts w:hint="eastAsia"/>
          <w:b/>
          <w:bCs/>
          <w:lang w:val="en-US" w:eastAsia="zh-CN"/>
        </w:rPr>
        <w:t xml:space="preserve">（4）大气及声环境保护 </w:t>
      </w:r>
    </w:p>
    <w:p w14:paraId="7073F078">
      <w:pPr>
        <w:bidi w:val="0"/>
        <w:rPr>
          <w:rFonts w:hint="eastAsia"/>
          <w:lang w:val="en-US" w:eastAsia="zh-CN"/>
        </w:rPr>
      </w:pPr>
      <w:r>
        <w:rPr>
          <w:rFonts w:hint="eastAsia"/>
          <w:lang w:val="en-US" w:eastAsia="zh-CN"/>
        </w:rPr>
        <w:t xml:space="preserve">1）对场内外道路路面加强维护并保持清洁，配备洒水车定期洒水（每天洒水4～5次），场内施工道路和对外交通道路应尽量避开居民集中区。 </w:t>
      </w:r>
    </w:p>
    <w:p w14:paraId="0FC58F1A">
      <w:pPr>
        <w:bidi w:val="0"/>
        <w:rPr>
          <w:rFonts w:hint="eastAsia"/>
          <w:lang w:val="en-US" w:eastAsia="zh-CN"/>
        </w:rPr>
      </w:pPr>
      <w:r>
        <w:rPr>
          <w:rFonts w:hint="eastAsia"/>
          <w:lang w:val="en-US" w:eastAsia="zh-CN"/>
        </w:rPr>
        <w:t xml:space="preserve">2）砂石料、水泥等其他可能产生扬尘的物资，在运输过程中做好围护措施；易散失的物资（石灰、水泥、弃土、淤泥等）堆放时加盖篷布。 </w:t>
      </w:r>
    </w:p>
    <w:p w14:paraId="43981B86">
      <w:pPr>
        <w:bidi w:val="0"/>
        <w:rPr>
          <w:rFonts w:hint="eastAsia"/>
          <w:lang w:val="en-US" w:eastAsia="zh-CN"/>
        </w:rPr>
      </w:pPr>
      <w:r>
        <w:rPr>
          <w:rFonts w:hint="eastAsia"/>
          <w:lang w:val="en-US" w:eastAsia="zh-CN"/>
        </w:rPr>
        <w:t xml:space="preserve">3）土石方应及时调运利用，减少临时堆置时间，堆土场需保持一定的湿度，以减少扬尘量。 </w:t>
      </w:r>
    </w:p>
    <w:p w14:paraId="558B2C5D">
      <w:pPr>
        <w:bidi w:val="0"/>
        <w:rPr>
          <w:rFonts w:hint="eastAsia"/>
          <w:lang w:val="en-US" w:eastAsia="zh-CN"/>
        </w:rPr>
      </w:pPr>
      <w:r>
        <w:rPr>
          <w:rFonts w:hint="eastAsia"/>
          <w:lang w:val="en-US" w:eastAsia="zh-CN"/>
        </w:rPr>
        <w:t xml:space="preserve">4）加强施工车辆养护，减少汽车尾气污染物排放。 </w:t>
      </w:r>
    </w:p>
    <w:p w14:paraId="52245421">
      <w:pPr>
        <w:bidi w:val="0"/>
        <w:rPr>
          <w:rFonts w:hint="eastAsia"/>
          <w:lang w:val="en-US" w:eastAsia="zh-CN"/>
        </w:rPr>
      </w:pPr>
      <w:r>
        <w:rPr>
          <w:rFonts w:hint="eastAsia"/>
          <w:lang w:val="en-US" w:eastAsia="zh-CN"/>
        </w:rPr>
        <w:t xml:space="preserve">5）合理安排施工时间，禁止夜间施工，若工程急需在夜间施工应向当地环保部门申报，获得批准后在指定日期进行，并将施工期限向周边居民公告。 </w:t>
      </w:r>
    </w:p>
    <w:p w14:paraId="713595AB">
      <w:pPr>
        <w:bidi w:val="0"/>
        <w:rPr>
          <w:rFonts w:hint="eastAsia"/>
          <w:lang w:val="en-US" w:eastAsia="zh-CN"/>
        </w:rPr>
      </w:pPr>
      <w:r>
        <w:rPr>
          <w:rFonts w:hint="eastAsia"/>
          <w:lang w:val="en-US" w:eastAsia="zh-CN"/>
        </w:rPr>
        <w:t xml:space="preserve">6）选用低噪声的设备和工艺，为高噪声的设备安装隔声减噪装置，并加强设备的维护和保养。 </w:t>
      </w:r>
    </w:p>
    <w:p w14:paraId="116D5262">
      <w:pPr>
        <w:bidi w:val="0"/>
        <w:rPr>
          <w:rFonts w:hint="eastAsia"/>
          <w:lang w:val="en-US" w:eastAsia="zh-CN"/>
        </w:rPr>
      </w:pPr>
      <w:r>
        <w:rPr>
          <w:rFonts w:hint="eastAsia"/>
          <w:lang w:val="en-US" w:eastAsia="zh-CN"/>
        </w:rPr>
        <w:t xml:space="preserve">7）合理布置施工场地，高噪声机械设备尽可能远离施工生活区和附近居民点。 </w:t>
      </w:r>
    </w:p>
    <w:p w14:paraId="6C5BE1F5">
      <w:pPr>
        <w:bidi w:val="0"/>
        <w:rPr>
          <w:rFonts w:hint="eastAsia"/>
          <w:lang w:val="en-US" w:eastAsia="zh-CN"/>
        </w:rPr>
      </w:pPr>
      <w:r>
        <w:rPr>
          <w:rFonts w:hint="eastAsia"/>
          <w:lang w:val="en-US" w:eastAsia="zh-CN"/>
        </w:rPr>
        <w:t>8）合理安排施工车辆行驶线路和时间，注意限速行驶、禁止高音鸣号，以减小地区交通噪声。施工期应尽量减少夜间22:00～次日 6:00的运输量，避开居民密集区及声环境敏感点行驶。对必须经居民区行驶的施工车辆，应制定合理的行驶计划，并加强与附近居民的协商与沟通。</w:t>
      </w:r>
    </w:p>
    <w:p w14:paraId="6E1B5D86">
      <w:pPr>
        <w:bidi w:val="0"/>
        <w:rPr>
          <w:rFonts w:hint="eastAsia"/>
          <w:lang w:val="en-US" w:eastAsia="zh-CN"/>
        </w:rPr>
      </w:pPr>
      <w:r>
        <w:rPr>
          <w:rFonts w:hint="eastAsia"/>
          <w:lang w:val="en-US" w:eastAsia="zh-CN"/>
        </w:rPr>
        <w:t xml:space="preserve">9）建设单位应责成施工单位在施工现场标明张布通告和投诉电话，建设单位在接到投诉后应及时与当地环保部门取得联系，以便及时处理各种环境纠纷。 </w:t>
      </w:r>
    </w:p>
    <w:p w14:paraId="5A6B02B1">
      <w:pPr>
        <w:pStyle w:val="3"/>
        <w:bidi w:val="0"/>
        <w:rPr>
          <w:rFonts w:hint="eastAsia"/>
          <w:lang w:val="en-US" w:eastAsia="zh-CN"/>
        </w:rPr>
      </w:pPr>
      <w:bookmarkStart w:id="152" w:name="_Toc1402"/>
      <w:bookmarkStart w:id="153" w:name="_Toc13642"/>
      <w:r>
        <w:rPr>
          <w:rFonts w:hint="eastAsia"/>
          <w:lang w:val="en-US" w:eastAsia="zh-CN"/>
        </w:rPr>
        <w:t>6.2 水土流失防治措施</w:t>
      </w:r>
      <w:bookmarkEnd w:id="152"/>
      <w:bookmarkEnd w:id="153"/>
      <w:r>
        <w:rPr>
          <w:rFonts w:hint="eastAsia"/>
          <w:lang w:val="en-US" w:eastAsia="zh-CN"/>
        </w:rPr>
        <w:t xml:space="preserve"> </w:t>
      </w:r>
    </w:p>
    <w:p w14:paraId="0D7AEDC9">
      <w:pPr>
        <w:pStyle w:val="4"/>
        <w:bidi w:val="0"/>
        <w:rPr>
          <w:rFonts w:hint="eastAsia"/>
          <w:lang w:val="en-US" w:eastAsia="zh-CN"/>
        </w:rPr>
      </w:pPr>
      <w:r>
        <w:rPr>
          <w:rFonts w:hint="eastAsia"/>
          <w:lang w:val="en-US" w:eastAsia="zh-CN"/>
        </w:rPr>
        <w:t xml:space="preserve">6.2.1 水土流失防治目标与范围 </w:t>
      </w:r>
    </w:p>
    <w:p w14:paraId="2839FFB6">
      <w:pPr>
        <w:bidi w:val="0"/>
        <w:rPr>
          <w:rFonts w:hint="eastAsia"/>
          <w:lang w:val="en-US" w:eastAsia="zh-CN"/>
        </w:rPr>
      </w:pPr>
      <w:r>
        <w:rPr>
          <w:rFonts w:hint="eastAsia"/>
          <w:lang w:val="en-US" w:eastAsia="zh-CN"/>
        </w:rPr>
        <w:t xml:space="preserve">根据《生产建设项目水土流失防治标准》（GB 50434-2018），生产建设项目水土流失防治标准等级按项目所处地区水土保持敏感程度和水土流失影响程度确定。 </w:t>
      </w:r>
    </w:p>
    <w:p w14:paraId="32B7F03A">
      <w:pPr>
        <w:bidi w:val="0"/>
        <w:rPr>
          <w:rFonts w:hint="eastAsia"/>
          <w:lang w:val="en-US" w:eastAsia="zh-CN"/>
        </w:rPr>
      </w:pPr>
      <w:r>
        <w:rPr>
          <w:rFonts w:hint="eastAsia"/>
          <w:lang w:val="en-US" w:eastAsia="zh-CN"/>
        </w:rPr>
        <w:t xml:space="preserve">按照《生产建设项目水土流失防治标准》（GB/T 50434－2018）的要求，项目周边500m 范围内有乡镇、居民点，按照《生产建设项目水土流失防治标准》（GB/T 50434－2018）的要求执行南方红壤区二级标准。 按照“谁建设、谁保护，谁造成水土流失、谁负责治理”的原则和《生产建设项目水土保持技术标准》（GB50433-2018），工程水土流失防治责任范围项目施工范围。 </w:t>
      </w:r>
    </w:p>
    <w:p w14:paraId="19DF906F">
      <w:pPr>
        <w:pStyle w:val="4"/>
        <w:bidi w:val="0"/>
        <w:rPr>
          <w:rFonts w:hint="eastAsia"/>
          <w:lang w:val="en-US" w:eastAsia="zh-CN"/>
        </w:rPr>
      </w:pPr>
      <w:r>
        <w:rPr>
          <w:rFonts w:hint="eastAsia"/>
          <w:lang w:val="en-US" w:eastAsia="zh-CN"/>
        </w:rPr>
        <w:t xml:space="preserve">6.2.2 水土流失影响因素分析 </w:t>
      </w:r>
    </w:p>
    <w:p w14:paraId="5E8B9883">
      <w:pPr>
        <w:bidi w:val="0"/>
        <w:rPr>
          <w:rFonts w:hint="eastAsia"/>
          <w:lang w:val="en-US" w:eastAsia="zh-CN"/>
        </w:rPr>
      </w:pPr>
      <w:r>
        <w:rPr>
          <w:rFonts w:hint="eastAsia"/>
          <w:lang w:val="en-US" w:eastAsia="zh-CN"/>
        </w:rPr>
        <w:t xml:space="preserve">本项目建设将造成的水土流失成因主要体现在如下几个方面： </w:t>
      </w:r>
    </w:p>
    <w:p w14:paraId="1706F524">
      <w:pPr>
        <w:bidi w:val="0"/>
        <w:rPr>
          <w:rFonts w:hint="eastAsia"/>
          <w:lang w:val="en-US" w:eastAsia="zh-CN"/>
        </w:rPr>
      </w:pPr>
      <w:r>
        <w:rPr>
          <w:rFonts w:hint="eastAsia"/>
          <w:lang w:val="en-US" w:eastAsia="zh-CN"/>
        </w:rPr>
        <w:t xml:space="preserve">（1）在项目施工过程中，因开挖使地表植被遭到破坏，原有表土与植被之间的平衡关系失调，表土层抗蚀能力减弱，在雨滴打击和径流冲刷以及风蚀作用下产生水土流失。 </w:t>
      </w:r>
    </w:p>
    <w:p w14:paraId="5A137B1E">
      <w:pPr>
        <w:bidi w:val="0"/>
        <w:rPr>
          <w:rFonts w:hint="eastAsia"/>
          <w:lang w:val="en-US" w:eastAsia="zh-CN"/>
        </w:rPr>
      </w:pPr>
      <w:r>
        <w:rPr>
          <w:rFonts w:hint="eastAsia"/>
          <w:lang w:val="en-US" w:eastAsia="zh-CN"/>
        </w:rPr>
        <w:t xml:space="preserve">（2）道路、田坎等填方区域由沙土、石料堆垫经过分层压实后形成，虽然内部结构紧密，但边坡表层结构比较松散，易发生面蚀、浅沟蚀等形式的水土流失。 </w:t>
      </w:r>
    </w:p>
    <w:p w14:paraId="04E66301">
      <w:pPr>
        <w:bidi w:val="0"/>
        <w:rPr>
          <w:rFonts w:hint="eastAsia"/>
          <w:lang w:val="en-US" w:eastAsia="zh-CN"/>
        </w:rPr>
      </w:pPr>
      <w:r>
        <w:rPr>
          <w:rFonts w:hint="eastAsia"/>
          <w:lang w:val="en-US" w:eastAsia="zh-CN"/>
        </w:rPr>
        <w:t xml:space="preserve">（3）挖方区域原有植被一旦破坏，容易发生面蚀，浅沟蚀等形式的水土流失，使当地水土流失现象加剧 </w:t>
      </w:r>
    </w:p>
    <w:p w14:paraId="387F3238">
      <w:pPr>
        <w:pStyle w:val="4"/>
        <w:bidi w:val="0"/>
        <w:rPr>
          <w:rFonts w:hint="eastAsia"/>
          <w:lang w:val="en-US" w:eastAsia="zh-CN"/>
        </w:rPr>
      </w:pPr>
      <w:r>
        <w:rPr>
          <w:rFonts w:hint="eastAsia"/>
          <w:lang w:val="en-US" w:eastAsia="zh-CN"/>
        </w:rPr>
        <w:t xml:space="preserve">6.2.3 水土流失危害分析 </w:t>
      </w:r>
    </w:p>
    <w:p w14:paraId="43E98E8A">
      <w:pPr>
        <w:bidi w:val="0"/>
        <w:rPr>
          <w:rFonts w:hint="eastAsia"/>
          <w:lang w:val="en-US" w:eastAsia="zh-CN"/>
        </w:rPr>
      </w:pPr>
      <w:r>
        <w:rPr>
          <w:rFonts w:hint="eastAsia"/>
          <w:lang w:val="en-US" w:eastAsia="zh-CN"/>
        </w:rPr>
        <w:t xml:space="preserve">本项目可能造成的水土流失危害主要有以下几个方面： </w:t>
      </w:r>
    </w:p>
    <w:p w14:paraId="25C0F1B9">
      <w:pPr>
        <w:bidi w:val="0"/>
        <w:rPr>
          <w:rFonts w:hint="eastAsia"/>
          <w:lang w:val="en-US" w:eastAsia="zh-CN"/>
        </w:rPr>
      </w:pPr>
      <w:r>
        <w:rPr>
          <w:rFonts w:hint="eastAsia"/>
          <w:lang w:val="en-US" w:eastAsia="zh-CN"/>
        </w:rPr>
        <w:t xml:space="preserve">（1）土石方施工过程中可能造成的危害本项目土石方工程较大，高田坎修筑、垄间傍山道路修筑等均存在回填边坡，如不采取水保措施，水土流失将非常严重，因此本方案提出对项目区边界的回填边坡采用临时袋装土拦挡，拦挡外侧设置排水沟沉砂池，对裸露的边坡采用彩条布覆盖等措施。 </w:t>
      </w:r>
    </w:p>
    <w:p w14:paraId="1C43D85B">
      <w:pPr>
        <w:bidi w:val="0"/>
        <w:rPr>
          <w:rFonts w:hint="eastAsia"/>
          <w:lang w:val="en-US" w:eastAsia="zh-CN"/>
        </w:rPr>
      </w:pPr>
      <w:r>
        <w:rPr>
          <w:rFonts w:hint="eastAsia"/>
          <w:lang w:val="en-US" w:eastAsia="zh-CN"/>
        </w:rPr>
        <w:t xml:space="preserve">（2）施工期中可能造成的危害施工过程若造成水土流失，将会淤积下游河道，冲刷农田，遇大暴雨时将导致项目区内涝，严重影响施工工期周边居民的生活。 </w:t>
      </w:r>
    </w:p>
    <w:p w14:paraId="7753D6FB">
      <w:pPr>
        <w:pStyle w:val="4"/>
        <w:bidi w:val="0"/>
        <w:rPr>
          <w:rFonts w:hint="eastAsia"/>
          <w:lang w:val="en-US" w:eastAsia="zh-CN"/>
        </w:rPr>
      </w:pPr>
      <w:r>
        <w:rPr>
          <w:rFonts w:hint="eastAsia"/>
          <w:lang w:val="en-US" w:eastAsia="zh-CN"/>
        </w:rPr>
        <w:t>6.2.4 水土流失防治措施</w:t>
      </w:r>
    </w:p>
    <w:p w14:paraId="74BC27C6">
      <w:pPr>
        <w:bidi w:val="0"/>
        <w:rPr>
          <w:rFonts w:hint="eastAsia"/>
          <w:lang w:val="en-US" w:eastAsia="zh-CN"/>
        </w:rPr>
      </w:pPr>
      <w:r>
        <w:rPr>
          <w:rFonts w:hint="eastAsia"/>
          <w:lang w:val="en-US" w:eastAsia="zh-CN"/>
        </w:rPr>
        <w:t xml:space="preserve">本工程设计已考虑了表土剥离、排水、沉砂池、蓄水池等水土保持措施。从水土保持的角度考虑，主体工程已设计的防护措施在保障主体工程安全运营的同时，已经具备了一定的水土保持功能。水土保持方案新增施工期临时排水沟、沉沙池等临时防护措施， </w:t>
      </w:r>
    </w:p>
    <w:p w14:paraId="2092B295">
      <w:pPr>
        <w:bidi w:val="0"/>
        <w:rPr>
          <w:rFonts w:hint="eastAsia"/>
          <w:lang w:val="en-US" w:eastAsia="zh-CN"/>
        </w:rPr>
      </w:pPr>
      <w:r>
        <w:rPr>
          <w:rFonts w:hint="eastAsia"/>
          <w:lang w:val="en-US" w:eastAsia="zh-CN"/>
        </w:rPr>
        <w:t xml:space="preserve">具体如下： </w:t>
      </w:r>
    </w:p>
    <w:p w14:paraId="040A90A1">
      <w:pPr>
        <w:bidi w:val="0"/>
        <w:rPr>
          <w:rFonts w:hint="eastAsia"/>
          <w:lang w:val="en-US" w:eastAsia="zh-CN"/>
        </w:rPr>
      </w:pPr>
      <w:r>
        <w:rPr>
          <w:rFonts w:hint="eastAsia"/>
          <w:lang w:val="en-US" w:eastAsia="zh-CN"/>
        </w:rPr>
        <w:t xml:space="preserve">（1）对田块整治区域进行耕作层表土剥离堆放区，高边坡道路、田坎，布置临时排水沟、沉砂池、袋装土垒砌拦挡、彩条布覆盖等临时措施； </w:t>
      </w:r>
    </w:p>
    <w:p w14:paraId="39E66617">
      <w:pPr>
        <w:bidi w:val="0"/>
        <w:rPr>
          <w:rFonts w:hint="eastAsia"/>
          <w:lang w:val="en-US" w:eastAsia="zh-CN"/>
        </w:rPr>
      </w:pPr>
      <w:r>
        <w:rPr>
          <w:rFonts w:hint="eastAsia"/>
          <w:lang w:val="en-US" w:eastAsia="zh-CN"/>
        </w:rPr>
        <w:t xml:space="preserve">（2）在施工区因地制宜布置临时排水沟、沉沙池等措施； </w:t>
      </w:r>
    </w:p>
    <w:p w14:paraId="7BFF7648">
      <w:pPr>
        <w:bidi w:val="0"/>
        <w:rPr>
          <w:rFonts w:hint="eastAsia"/>
          <w:lang w:val="en-US" w:eastAsia="zh-CN"/>
        </w:rPr>
      </w:pPr>
      <w:r>
        <w:rPr>
          <w:rFonts w:hint="eastAsia"/>
          <w:lang w:val="en-US" w:eastAsia="zh-CN"/>
        </w:rPr>
        <w:t xml:space="preserve">（3）在沟渠建设区布置渠道和涵管等措施，及时排除积水。 </w:t>
      </w:r>
    </w:p>
    <w:p w14:paraId="5AA96839">
      <w:pPr>
        <w:pStyle w:val="3"/>
        <w:bidi w:val="0"/>
      </w:pPr>
      <w:bookmarkStart w:id="154" w:name="_Toc17918"/>
      <w:bookmarkStart w:id="155" w:name="_Toc30626"/>
      <w:r>
        <w:rPr>
          <w:rFonts w:hint="eastAsia"/>
          <w:lang w:val="en-US" w:eastAsia="zh-CN"/>
        </w:rPr>
        <w:t>6</w:t>
      </w:r>
      <w:r>
        <w:rPr>
          <w:lang w:val="en-US" w:eastAsia="zh-CN"/>
        </w:rPr>
        <w:t xml:space="preserve">.3 </w:t>
      </w:r>
      <w:r>
        <w:rPr>
          <w:rFonts w:hint="eastAsia"/>
          <w:lang w:val="en-US" w:eastAsia="zh-CN"/>
        </w:rPr>
        <w:t>安全防护措施</w:t>
      </w:r>
      <w:bookmarkEnd w:id="154"/>
      <w:bookmarkEnd w:id="155"/>
      <w:r>
        <w:rPr>
          <w:rFonts w:hint="eastAsia"/>
          <w:lang w:val="en-US" w:eastAsia="zh-CN"/>
        </w:rPr>
        <w:t xml:space="preserve"> </w:t>
      </w:r>
    </w:p>
    <w:p w14:paraId="5B9814BA">
      <w:pPr>
        <w:pStyle w:val="4"/>
        <w:bidi w:val="0"/>
      </w:pPr>
      <w:bookmarkStart w:id="156" w:name="_Toc11517"/>
      <w:r>
        <w:rPr>
          <w:rFonts w:hint="eastAsia"/>
          <w:lang w:val="en-US" w:eastAsia="zh-CN"/>
        </w:rPr>
        <w:t>6</w:t>
      </w:r>
      <w:r>
        <w:rPr>
          <w:lang w:val="en-US" w:eastAsia="zh-CN"/>
        </w:rPr>
        <w:t xml:space="preserve">.3.1 </w:t>
      </w:r>
      <w:r>
        <w:rPr>
          <w:rFonts w:hint="eastAsia"/>
          <w:lang w:val="en-US" w:eastAsia="zh-CN"/>
        </w:rPr>
        <w:t>劳动安全影响及保护措施</w:t>
      </w:r>
      <w:bookmarkEnd w:id="156"/>
      <w:r>
        <w:rPr>
          <w:rFonts w:hint="eastAsia"/>
          <w:lang w:val="en-US" w:eastAsia="zh-CN"/>
        </w:rPr>
        <w:t xml:space="preserve"> </w:t>
      </w:r>
    </w:p>
    <w:p w14:paraId="698B1160">
      <w:pPr>
        <w:pStyle w:val="5"/>
        <w:bidi w:val="0"/>
        <w:rPr>
          <w:rFonts w:hint="eastAsia"/>
          <w:lang w:val="en-US" w:eastAsia="zh-CN"/>
        </w:rPr>
      </w:pPr>
      <w:r>
        <w:rPr>
          <w:rFonts w:hint="eastAsia"/>
          <w:lang w:val="en-US" w:eastAsia="zh-CN"/>
        </w:rPr>
        <w:t xml:space="preserve">6.3.1.1 主要危险和有害因素 </w:t>
      </w:r>
    </w:p>
    <w:p w14:paraId="32A7AB75">
      <w:pPr>
        <w:bidi w:val="0"/>
        <w:rPr>
          <w:rFonts w:hint="eastAsia"/>
          <w:lang w:val="en-US" w:eastAsia="zh-CN"/>
        </w:rPr>
      </w:pPr>
      <w:r>
        <w:rPr>
          <w:rFonts w:hint="eastAsia"/>
          <w:lang w:val="en-US" w:eastAsia="zh-CN"/>
        </w:rPr>
        <w:t xml:space="preserve">本工程的主要危险因素可分为两类，其一为自然因素形成的危害和不利影响，一般包括地震、不良地质、暑热、雷击、暴雨等；其二为生产过程中产生的危害，包括有害尘毒、火灾爆炸事故、噪声振动、触电事故、坠落及碰撞、交通事故等各种因素。 </w:t>
      </w:r>
    </w:p>
    <w:p w14:paraId="77A2011F">
      <w:pPr>
        <w:bidi w:val="0"/>
        <w:rPr>
          <w:rFonts w:hint="eastAsia"/>
          <w:b/>
          <w:bCs/>
          <w:lang w:val="en-US" w:eastAsia="zh-CN"/>
        </w:rPr>
      </w:pPr>
      <w:r>
        <w:rPr>
          <w:rFonts w:hint="eastAsia"/>
          <w:b/>
          <w:bCs/>
          <w:lang w:val="en-US" w:eastAsia="zh-CN"/>
        </w:rPr>
        <w:t xml:space="preserve">（1）自然危险因素分析 </w:t>
      </w:r>
    </w:p>
    <w:p w14:paraId="08677FEC">
      <w:pPr>
        <w:bidi w:val="0"/>
        <w:rPr>
          <w:rFonts w:hint="eastAsia"/>
          <w:lang w:val="en-US" w:eastAsia="zh-CN"/>
        </w:rPr>
      </w:pPr>
      <w:r>
        <w:rPr>
          <w:rFonts w:hint="eastAsia"/>
          <w:lang w:val="en-US" w:eastAsia="zh-CN"/>
        </w:rPr>
        <w:t xml:space="preserve">1）地震 </w:t>
      </w:r>
    </w:p>
    <w:p w14:paraId="79BCEA14">
      <w:pPr>
        <w:bidi w:val="0"/>
        <w:rPr>
          <w:rFonts w:hint="eastAsia"/>
          <w:lang w:val="en-US" w:eastAsia="zh-CN"/>
        </w:rPr>
      </w:pPr>
      <w:r>
        <w:rPr>
          <w:rFonts w:hint="eastAsia"/>
          <w:lang w:val="en-US" w:eastAsia="zh-CN"/>
        </w:rPr>
        <w:t xml:space="preserve">地震是一种能产生巨大破坏的自然现象，尤其对建筑物的破坏作用更为明显，作用范围大，威胁设备和人员的安全。 </w:t>
      </w:r>
    </w:p>
    <w:p w14:paraId="0F851D66">
      <w:pPr>
        <w:bidi w:val="0"/>
        <w:rPr>
          <w:rFonts w:hint="eastAsia"/>
          <w:lang w:val="en-US" w:eastAsia="zh-CN"/>
        </w:rPr>
      </w:pPr>
      <w:r>
        <w:rPr>
          <w:rFonts w:hint="eastAsia"/>
          <w:lang w:val="en-US" w:eastAsia="zh-CN"/>
        </w:rPr>
        <w:t xml:space="preserve">2）暴雨和洪水 </w:t>
      </w:r>
    </w:p>
    <w:p w14:paraId="4D9B7A5E">
      <w:pPr>
        <w:bidi w:val="0"/>
        <w:rPr>
          <w:rFonts w:hint="eastAsia"/>
          <w:lang w:val="en-US" w:eastAsia="zh-CN"/>
        </w:rPr>
      </w:pPr>
      <w:r>
        <w:rPr>
          <w:rFonts w:hint="eastAsia"/>
          <w:lang w:val="en-US" w:eastAsia="zh-CN"/>
        </w:rPr>
        <w:t xml:space="preserve">暴雨和洪水威胁建筑物和人员安全，其作用范围及危险程度较大。 </w:t>
      </w:r>
    </w:p>
    <w:p w14:paraId="5B2B1CB4">
      <w:pPr>
        <w:bidi w:val="0"/>
        <w:rPr>
          <w:rFonts w:hint="eastAsia"/>
          <w:lang w:val="en-US" w:eastAsia="zh-CN"/>
        </w:rPr>
      </w:pPr>
      <w:r>
        <w:rPr>
          <w:rFonts w:hint="eastAsia"/>
          <w:lang w:val="en-US" w:eastAsia="zh-CN"/>
        </w:rPr>
        <w:t xml:space="preserve">3）雷击 </w:t>
      </w:r>
    </w:p>
    <w:p w14:paraId="1AB4A302">
      <w:pPr>
        <w:bidi w:val="0"/>
        <w:rPr>
          <w:rFonts w:hint="eastAsia"/>
          <w:lang w:val="en-US" w:eastAsia="zh-CN"/>
        </w:rPr>
      </w:pPr>
      <w:r>
        <w:rPr>
          <w:rFonts w:hint="eastAsia"/>
          <w:lang w:val="en-US" w:eastAsia="zh-CN"/>
        </w:rPr>
        <w:t xml:space="preserve">雷击能破坏建筑物和设备，并可能导致火灾和爆炸事故的发生，其出现的机会不大，作用时间短暂。 </w:t>
      </w:r>
    </w:p>
    <w:p w14:paraId="06B4FBB1">
      <w:pPr>
        <w:bidi w:val="0"/>
        <w:rPr>
          <w:rFonts w:hint="eastAsia"/>
          <w:lang w:val="en-US" w:eastAsia="zh-CN"/>
        </w:rPr>
      </w:pPr>
      <w:r>
        <w:rPr>
          <w:rFonts w:hint="eastAsia"/>
          <w:lang w:val="en-US" w:eastAsia="zh-CN"/>
        </w:rPr>
        <w:t xml:space="preserve">4）不良地质 </w:t>
      </w:r>
    </w:p>
    <w:p w14:paraId="5AC3CC48">
      <w:pPr>
        <w:bidi w:val="0"/>
        <w:rPr>
          <w:rFonts w:hint="eastAsia"/>
          <w:lang w:val="en-US" w:eastAsia="zh-CN"/>
        </w:rPr>
      </w:pPr>
      <w:r>
        <w:rPr>
          <w:rFonts w:hint="eastAsia"/>
          <w:lang w:val="en-US" w:eastAsia="zh-CN"/>
        </w:rPr>
        <w:t xml:space="preserve">不良地质对建筑物的破坏作用巨大，并影响人员安全。 </w:t>
      </w:r>
    </w:p>
    <w:p w14:paraId="5512A763">
      <w:pPr>
        <w:bidi w:val="0"/>
        <w:rPr>
          <w:rFonts w:hint="eastAsia"/>
          <w:lang w:val="en-US" w:eastAsia="zh-CN"/>
        </w:rPr>
      </w:pPr>
      <w:r>
        <w:rPr>
          <w:rFonts w:hint="eastAsia"/>
          <w:lang w:val="en-US" w:eastAsia="zh-CN"/>
        </w:rPr>
        <w:t xml:space="preserve">5）风向 </w:t>
      </w:r>
    </w:p>
    <w:p w14:paraId="37056101">
      <w:pPr>
        <w:bidi w:val="0"/>
        <w:rPr>
          <w:rFonts w:hint="eastAsia"/>
          <w:lang w:val="en-US" w:eastAsia="zh-CN"/>
        </w:rPr>
      </w:pPr>
      <w:r>
        <w:rPr>
          <w:rFonts w:hint="eastAsia"/>
          <w:lang w:val="en-US" w:eastAsia="zh-CN"/>
        </w:rPr>
        <w:t xml:space="preserve">风向对有害物质的输送作用明显，若人员处于下风口，则极为不利。 </w:t>
      </w:r>
    </w:p>
    <w:p w14:paraId="61A738B1">
      <w:pPr>
        <w:bidi w:val="0"/>
        <w:rPr>
          <w:rFonts w:hint="eastAsia"/>
          <w:lang w:val="en-US" w:eastAsia="zh-CN"/>
        </w:rPr>
      </w:pPr>
      <w:r>
        <w:rPr>
          <w:rFonts w:hint="eastAsia"/>
          <w:lang w:val="en-US" w:eastAsia="zh-CN"/>
        </w:rPr>
        <w:t xml:space="preserve">6）气温 </w:t>
      </w:r>
    </w:p>
    <w:p w14:paraId="28B8ACBD">
      <w:pPr>
        <w:bidi w:val="0"/>
        <w:rPr>
          <w:rFonts w:hint="eastAsia"/>
          <w:lang w:val="en-US" w:eastAsia="zh-CN"/>
        </w:rPr>
      </w:pPr>
      <w:r>
        <w:rPr>
          <w:rFonts w:hint="eastAsia"/>
          <w:lang w:val="en-US" w:eastAsia="zh-CN"/>
        </w:rPr>
        <w:t xml:space="preserve">人体有适宜的环境温度，当环境温度超过一定范围，会产生不舒服感，气温过高会发生中暑，气温过低，则可能发生冻坏设备。气温对人体的作用广泛，作用时间长，其危害后果较轻。 </w:t>
      </w:r>
    </w:p>
    <w:p w14:paraId="38AD5582">
      <w:pPr>
        <w:bidi w:val="0"/>
        <w:rPr>
          <w:rFonts w:hint="eastAsia"/>
          <w:lang w:val="en-US" w:eastAsia="zh-CN"/>
        </w:rPr>
      </w:pPr>
      <w:r>
        <w:rPr>
          <w:rFonts w:hint="eastAsia"/>
          <w:lang w:val="en-US" w:eastAsia="zh-CN"/>
        </w:rPr>
        <w:t xml:space="preserve">自然危险因素的发生基本是不可避免的，但可以对其采取相应的防范措施，以减轻人员、设备、建筑物等可能受到的损坏和伤害。 </w:t>
      </w:r>
    </w:p>
    <w:p w14:paraId="44B889EE">
      <w:pPr>
        <w:bidi w:val="0"/>
        <w:rPr>
          <w:rFonts w:hint="eastAsia"/>
          <w:b/>
          <w:bCs/>
          <w:lang w:val="en-US" w:eastAsia="zh-CN"/>
        </w:rPr>
      </w:pPr>
      <w:r>
        <w:rPr>
          <w:rFonts w:hint="eastAsia"/>
          <w:b/>
          <w:bCs/>
          <w:lang w:val="en-US" w:eastAsia="zh-CN"/>
        </w:rPr>
        <w:t xml:space="preserve">（2）生产危害因素分析 </w:t>
      </w:r>
    </w:p>
    <w:p w14:paraId="230846FC">
      <w:pPr>
        <w:bidi w:val="0"/>
        <w:rPr>
          <w:rFonts w:hint="eastAsia"/>
          <w:lang w:val="en-US" w:eastAsia="zh-CN"/>
        </w:rPr>
      </w:pPr>
      <w:r>
        <w:rPr>
          <w:rFonts w:hint="eastAsia"/>
          <w:lang w:val="en-US" w:eastAsia="zh-CN"/>
        </w:rPr>
        <w:t xml:space="preserve">1）振动与噪声 </w:t>
      </w:r>
    </w:p>
    <w:p w14:paraId="78FDDF72">
      <w:pPr>
        <w:bidi w:val="0"/>
        <w:rPr>
          <w:rFonts w:hint="eastAsia"/>
          <w:lang w:val="en-US" w:eastAsia="zh-CN"/>
        </w:rPr>
      </w:pPr>
      <w:r>
        <w:rPr>
          <w:rFonts w:hint="eastAsia"/>
          <w:lang w:val="en-US" w:eastAsia="zh-CN"/>
        </w:rPr>
        <w:t xml:space="preserve">振动能使人体患振动病，主要表现在头晕、乏力、睡眠障碍、心悸等。噪声除损害听觉器官外，对神经系统，心血管系统也有不良影响、长时间接触，能使人头晕。记忆力减退。 </w:t>
      </w:r>
    </w:p>
    <w:p w14:paraId="051B0709">
      <w:pPr>
        <w:bidi w:val="0"/>
        <w:rPr>
          <w:rFonts w:hint="eastAsia"/>
          <w:lang w:val="en-US" w:eastAsia="zh-CN"/>
        </w:rPr>
      </w:pPr>
      <w:r>
        <w:rPr>
          <w:rFonts w:hint="eastAsia"/>
          <w:lang w:val="en-US" w:eastAsia="zh-CN"/>
        </w:rPr>
        <w:t xml:space="preserve">2）火灾、爆炸 </w:t>
      </w:r>
    </w:p>
    <w:p w14:paraId="407F175B">
      <w:pPr>
        <w:bidi w:val="0"/>
        <w:rPr>
          <w:rFonts w:hint="eastAsia"/>
          <w:lang w:val="en-US" w:eastAsia="zh-CN"/>
        </w:rPr>
      </w:pPr>
      <w:r>
        <w:rPr>
          <w:rFonts w:hint="eastAsia"/>
          <w:lang w:val="en-US" w:eastAsia="zh-CN"/>
        </w:rPr>
        <w:t xml:space="preserve">火灾是指在时间和空间上失去控制的燃烧所造成的灾害。在各种灾害中，火灾是最经常、最普遍地威胁公众安全和社会发展的主要灾害之一，火灾能造成较大的人员和财产损失。爆炸同火灾一样，能造成较大的人员和财产损失。 </w:t>
      </w:r>
    </w:p>
    <w:p w14:paraId="31345816">
      <w:pPr>
        <w:bidi w:val="0"/>
        <w:rPr>
          <w:rFonts w:hint="eastAsia"/>
          <w:lang w:val="en-US" w:eastAsia="zh-CN"/>
        </w:rPr>
      </w:pPr>
      <w:r>
        <w:rPr>
          <w:rFonts w:hint="eastAsia"/>
          <w:lang w:val="en-US" w:eastAsia="zh-CN"/>
        </w:rPr>
        <w:t xml:space="preserve">3）其他安全事故 </w:t>
      </w:r>
    </w:p>
    <w:p w14:paraId="380006CE">
      <w:pPr>
        <w:bidi w:val="0"/>
        <w:rPr>
          <w:rFonts w:hint="eastAsia"/>
          <w:lang w:val="en-US" w:eastAsia="zh-CN"/>
        </w:rPr>
      </w:pPr>
      <w:r>
        <w:rPr>
          <w:rFonts w:hint="eastAsia"/>
          <w:lang w:val="en-US" w:eastAsia="zh-CN"/>
        </w:rPr>
        <w:t xml:space="preserve">触电、坠落、碰撞、交通等事故均对人身形成伤害，严重时可造成人员的死亡。 </w:t>
      </w:r>
    </w:p>
    <w:p w14:paraId="05A96921">
      <w:pPr>
        <w:pStyle w:val="5"/>
        <w:bidi w:val="0"/>
        <w:rPr>
          <w:rFonts w:hint="eastAsia"/>
          <w:lang w:val="en-US" w:eastAsia="zh-CN"/>
        </w:rPr>
      </w:pPr>
      <w:r>
        <w:rPr>
          <w:rFonts w:hint="eastAsia"/>
          <w:lang w:val="en-US" w:eastAsia="zh-CN"/>
        </w:rPr>
        <w:t xml:space="preserve">6.3.1.2 劳动安全措施 </w:t>
      </w:r>
    </w:p>
    <w:p w14:paraId="792815B3">
      <w:pPr>
        <w:bidi w:val="0"/>
        <w:rPr>
          <w:rFonts w:hint="eastAsia"/>
          <w:b/>
          <w:bCs/>
          <w:lang w:val="en-US" w:eastAsia="zh-CN"/>
        </w:rPr>
      </w:pPr>
      <w:r>
        <w:rPr>
          <w:rFonts w:hint="eastAsia"/>
          <w:b/>
          <w:bCs/>
          <w:lang w:val="en-US" w:eastAsia="zh-CN"/>
        </w:rPr>
        <w:t xml:space="preserve">（1）抗震 </w:t>
      </w:r>
    </w:p>
    <w:p w14:paraId="514B9CDD">
      <w:pPr>
        <w:bidi w:val="0"/>
        <w:rPr>
          <w:rFonts w:hint="eastAsia"/>
          <w:lang w:val="en-US" w:eastAsia="zh-CN"/>
        </w:rPr>
      </w:pPr>
      <w:r>
        <w:rPr>
          <w:rFonts w:hint="eastAsia"/>
          <w:lang w:val="en-US" w:eastAsia="zh-CN"/>
        </w:rPr>
        <w:t xml:space="preserve">据《中国地震动参数区划图》（GB18306-2015）的界定，区内地震动峰值加速度为0.05g，地震动反应谱特征周期为 0.35s，相应地震基本烈度为Ⅵ度。区域稳定性较好。 </w:t>
      </w:r>
    </w:p>
    <w:p w14:paraId="59937FB3">
      <w:pPr>
        <w:bidi w:val="0"/>
        <w:rPr>
          <w:rFonts w:hint="eastAsia"/>
          <w:lang w:val="en-US" w:eastAsia="zh-CN"/>
        </w:rPr>
      </w:pPr>
      <w:r>
        <w:rPr>
          <w:rFonts w:hint="eastAsia"/>
          <w:lang w:val="en-US" w:eastAsia="zh-CN"/>
        </w:rPr>
        <w:t xml:space="preserve">本工程建筑物设计均按照相关规范考虑了抗震因素。 </w:t>
      </w:r>
    </w:p>
    <w:p w14:paraId="7E7B5ED7">
      <w:pPr>
        <w:bidi w:val="0"/>
        <w:rPr>
          <w:rFonts w:hint="eastAsia"/>
          <w:b/>
          <w:bCs/>
          <w:lang w:val="en-US" w:eastAsia="zh-CN"/>
        </w:rPr>
      </w:pPr>
      <w:r>
        <w:rPr>
          <w:rFonts w:hint="eastAsia"/>
          <w:b/>
          <w:bCs/>
          <w:lang w:val="en-US" w:eastAsia="zh-CN"/>
        </w:rPr>
        <w:t xml:space="preserve">（2）防火、防爆 </w:t>
      </w:r>
    </w:p>
    <w:p w14:paraId="4DB9B85C">
      <w:pPr>
        <w:bidi w:val="0"/>
        <w:rPr>
          <w:rFonts w:hint="eastAsia"/>
          <w:lang w:val="en-US" w:eastAsia="zh-CN"/>
        </w:rPr>
      </w:pPr>
      <w:r>
        <w:rPr>
          <w:rFonts w:hint="eastAsia"/>
          <w:lang w:val="en-US" w:eastAsia="zh-CN"/>
        </w:rPr>
        <w:t>工程的设备选型和布置，均按 GB 50872-2014《水利水电工程设计防火规范》进行设计。贯彻“预防为主、防消结合、自防自救”的设计原则。考虑各建筑物、构筑物在规划、管理房布置上的防火间距、安全疏散通道、消防车道、消防水泵、事故排油、化学灭火、事故排烟、自动报警等要求及按火灾危险性类别及耐火等级进行设计。对可能发生火灾的场所，在建筑物和设备的布置、安装、建筑物内装修、电缆敷设上采取有效的预防措施，以减少火灾的发生。设置报警装置、消火栓、灭火器等设备，以及必要的消防通道、疏散通道，以达到一旦发生火灾，则能迅速灭火或限制其范围，疏散人员，将人员伤亡和财产损失减小到最小。</w:t>
      </w:r>
    </w:p>
    <w:p w14:paraId="14A0AECC">
      <w:pPr>
        <w:bidi w:val="0"/>
        <w:rPr>
          <w:rFonts w:hint="eastAsia"/>
          <w:lang w:val="en-US" w:eastAsia="zh-CN"/>
        </w:rPr>
      </w:pPr>
      <w:r>
        <w:rPr>
          <w:rFonts w:hint="eastAsia"/>
          <w:lang w:val="en-US" w:eastAsia="zh-CN"/>
        </w:rPr>
        <w:t xml:space="preserve">根据规范确定生产场所的火灾危险性类别及建筑物耐火等级，以及设备的具体布置情况，确定消防总体方案如下： </w:t>
      </w:r>
    </w:p>
    <w:p w14:paraId="0D27ACA9">
      <w:pPr>
        <w:bidi w:val="0"/>
        <w:rPr>
          <w:rFonts w:hint="eastAsia"/>
          <w:lang w:val="en-US" w:eastAsia="zh-CN"/>
        </w:rPr>
      </w:pPr>
      <w:r>
        <w:rPr>
          <w:rFonts w:hint="eastAsia"/>
          <w:lang w:val="en-US" w:eastAsia="zh-CN"/>
        </w:rPr>
        <w:t xml:space="preserve">在各建筑物内及电气设备周围配置各型灭火器及砂箱、铁锹、防毒面具等消防器材。另外，在管理房内设置有火灾自动报警系统。在各主要通道及路口设置火灾事故照明及疏散指示标志。 </w:t>
      </w:r>
    </w:p>
    <w:p w14:paraId="7F40B0D5">
      <w:pPr>
        <w:bidi w:val="0"/>
        <w:rPr>
          <w:rFonts w:hint="eastAsia"/>
          <w:lang w:val="en-US" w:eastAsia="zh-CN"/>
        </w:rPr>
      </w:pPr>
      <w:r>
        <w:rPr>
          <w:rFonts w:hint="eastAsia"/>
          <w:lang w:val="en-US" w:eastAsia="zh-CN"/>
        </w:rPr>
        <w:t xml:space="preserve">接地及防静电设计：水库的所有电气设备均可靠地引接接地，共用一套接地装置（接地网），其接地电阻控制在不大于 0.5Ω。 </w:t>
      </w:r>
    </w:p>
    <w:p w14:paraId="5A4CD335">
      <w:pPr>
        <w:bidi w:val="0"/>
        <w:rPr>
          <w:rFonts w:hint="eastAsia"/>
          <w:b/>
          <w:bCs/>
          <w:lang w:val="en-US" w:eastAsia="zh-CN"/>
        </w:rPr>
      </w:pPr>
      <w:r>
        <w:rPr>
          <w:rFonts w:hint="eastAsia"/>
          <w:b/>
          <w:bCs/>
          <w:lang w:val="en-US" w:eastAsia="zh-CN"/>
        </w:rPr>
        <w:t xml:space="preserve">（3）防电气伤害 </w:t>
      </w:r>
    </w:p>
    <w:p w14:paraId="2DCC4073">
      <w:pPr>
        <w:bidi w:val="0"/>
        <w:rPr>
          <w:rFonts w:hint="eastAsia"/>
          <w:lang w:val="en-US" w:eastAsia="zh-CN"/>
        </w:rPr>
      </w:pPr>
      <w:r>
        <w:rPr>
          <w:rFonts w:hint="eastAsia"/>
          <w:lang w:val="en-US" w:eastAsia="zh-CN"/>
        </w:rPr>
        <w:t xml:space="preserve">为防止运行人员在操作维护中发生触电事故，保证运行人员的安全，厂内及变压器配电装置的安全净距均按《3～110kV 高压配电装置设计规范》（GB50060-2008）、《高压配电装置设计技术规程》（SDJ5-2018）的要求设计。电气设备的防护围栏按《水利水电工程劳动安全与工业卫生设计规范》（GB 50706-2011）的规定设计。对于有可能触电危险的部位，为增加运行安全感，装设保护网，为提高发电机主回路母线的防护等级，采用了高压共箱式封闭母线。控制屏、保护屏的控制电源优先采用开关电源，经直流220V变换为24V电源，维护人员可带电进行操作维护。 </w:t>
      </w:r>
    </w:p>
    <w:p w14:paraId="082FBB53">
      <w:pPr>
        <w:bidi w:val="0"/>
        <w:rPr>
          <w:rFonts w:hint="eastAsia"/>
          <w:b/>
          <w:bCs/>
          <w:lang w:val="en-US" w:eastAsia="zh-CN"/>
        </w:rPr>
      </w:pPr>
    </w:p>
    <w:p w14:paraId="04F2C79F">
      <w:pPr>
        <w:bidi w:val="0"/>
        <w:rPr>
          <w:rFonts w:hint="eastAsia"/>
          <w:b/>
          <w:bCs/>
          <w:lang w:val="en-US" w:eastAsia="zh-CN"/>
        </w:rPr>
      </w:pPr>
      <w:r>
        <w:rPr>
          <w:rFonts w:hint="eastAsia"/>
          <w:b/>
          <w:bCs/>
          <w:lang w:val="en-US" w:eastAsia="zh-CN"/>
        </w:rPr>
        <w:t xml:space="preserve">（4）防机械伤害、防坠落伤害 </w:t>
      </w:r>
    </w:p>
    <w:p w14:paraId="3B3D316E">
      <w:pPr>
        <w:bidi w:val="0"/>
        <w:rPr>
          <w:rFonts w:hint="eastAsia"/>
          <w:lang w:val="en-US" w:eastAsia="zh-CN"/>
        </w:rPr>
      </w:pPr>
      <w:r>
        <w:rPr>
          <w:rFonts w:hint="eastAsia"/>
          <w:lang w:val="en-US" w:eastAsia="zh-CN"/>
        </w:rPr>
        <w:t xml:space="preserve">本阶段根据《水利水电工程劳动安全与工业卫生设计规范》结合工程特点，进行防机械伤害、防坠落伤害设计。 </w:t>
      </w:r>
    </w:p>
    <w:p w14:paraId="12BF2F01">
      <w:pPr>
        <w:bidi w:val="0"/>
        <w:rPr>
          <w:rFonts w:hint="eastAsia"/>
          <w:lang w:val="en-US" w:eastAsia="zh-CN"/>
        </w:rPr>
      </w:pPr>
      <w:r>
        <w:rPr>
          <w:rFonts w:hint="eastAsia"/>
          <w:lang w:val="en-US" w:eastAsia="zh-CN"/>
        </w:rPr>
        <w:t xml:space="preserve">1）机械设备安全防护距离、防护屏和设备本体的安全对人身安全极其重要，因而，应符合《生产设备安全卫生设计总则》（GB5083-1999 的有关标准的规定。 </w:t>
      </w:r>
    </w:p>
    <w:p w14:paraId="3F20C826">
      <w:pPr>
        <w:bidi w:val="0"/>
        <w:rPr>
          <w:rFonts w:hint="eastAsia"/>
          <w:lang w:val="en-US" w:eastAsia="zh-CN"/>
        </w:rPr>
      </w:pPr>
      <w:r>
        <w:rPr>
          <w:rFonts w:hint="eastAsia"/>
          <w:lang w:val="en-US" w:eastAsia="zh-CN"/>
        </w:rPr>
        <w:t xml:space="preserve">2）启闭机用钢丝绳、滑轮、吊钩等应符合《起重机械安全规程》（GB6067）的有关规定。 </w:t>
      </w:r>
    </w:p>
    <w:p w14:paraId="3BB0C5EB">
      <w:pPr>
        <w:bidi w:val="0"/>
        <w:rPr>
          <w:rFonts w:hint="eastAsia"/>
          <w:lang w:val="en-US" w:eastAsia="zh-CN"/>
        </w:rPr>
      </w:pPr>
      <w:r>
        <w:rPr>
          <w:rFonts w:hint="eastAsia"/>
          <w:lang w:val="en-US" w:eastAsia="zh-CN"/>
        </w:rPr>
        <w:t xml:space="preserve">3）简易机修车间内机床的布置方式考虑不使零件或切屑物甩出伤人，机床之间以及与墙、柱之间的净距大于 0.8m，机床的朝向应有利于采光，使操作人员不受眩光的影响。 </w:t>
      </w:r>
    </w:p>
    <w:p w14:paraId="6C888137">
      <w:pPr>
        <w:bidi w:val="0"/>
        <w:rPr>
          <w:rFonts w:hint="eastAsia"/>
          <w:lang w:val="en-US" w:eastAsia="zh-CN"/>
        </w:rPr>
      </w:pPr>
      <w:r>
        <w:rPr>
          <w:rFonts w:hint="eastAsia"/>
          <w:lang w:val="en-US" w:eastAsia="zh-CN"/>
        </w:rPr>
        <w:t xml:space="preserve">4）楼梯、钢梯、平台均采取防滑措施，并有防护栏杆，以防止人员滑倒摔伤。 </w:t>
      </w:r>
    </w:p>
    <w:p w14:paraId="76270AE1">
      <w:pPr>
        <w:bidi w:val="0"/>
        <w:rPr>
          <w:rFonts w:hint="eastAsia"/>
          <w:b/>
          <w:bCs/>
          <w:lang w:val="en-US" w:eastAsia="zh-CN"/>
        </w:rPr>
      </w:pPr>
      <w:r>
        <w:rPr>
          <w:rFonts w:hint="eastAsia"/>
          <w:b/>
          <w:bCs/>
          <w:lang w:val="en-US" w:eastAsia="zh-CN"/>
        </w:rPr>
        <w:t xml:space="preserve">（5）防洪 </w:t>
      </w:r>
    </w:p>
    <w:p w14:paraId="732453AA">
      <w:pPr>
        <w:bidi w:val="0"/>
        <w:rPr>
          <w:rFonts w:hint="eastAsia"/>
          <w:lang w:val="en-US" w:eastAsia="zh-CN"/>
        </w:rPr>
      </w:pPr>
      <w:r>
        <w:rPr>
          <w:rFonts w:hint="eastAsia"/>
          <w:lang w:val="en-US" w:eastAsia="zh-CN"/>
        </w:rPr>
        <w:t xml:space="preserve">施工期间，施工单位应时刻关注围堰外水位变化情况和基坑岸坡渗水情况，做到适时监控。及时提供气象预报、洪水预报、水情等信息，确保基坑安全，如预报上游来水量超过设计标准时，应及时撤离工程人员及设备。加强排水设施的维护和管理，保持施工基坑内排水系统畅通，确保无超标洪水时，基坑不受淹。施工单位不得降低围堰挡水标准，当改变设计堰型时，应采取可靠的堰体及堰基防渗措施，并确保围堰稳定。为保证施工期及运行期安全度汛，在汛期应成立防汛指挥部，制定制度，统一管理，责任到人。汛期前，防汛指挥部应组织有关单位检查防汛工作的落实情况，做好防汛的各项准备。汛期应做到每天24小时专人值班、巡视，时刻关注围堰外水位变化情况和各基坑岸坡渗水情况，做到适时监控。 </w:t>
      </w:r>
    </w:p>
    <w:p w14:paraId="4EE41540">
      <w:pPr>
        <w:bidi w:val="0"/>
        <w:rPr>
          <w:rFonts w:hint="eastAsia"/>
          <w:b/>
          <w:bCs/>
          <w:lang w:val="en-US" w:eastAsia="zh-CN"/>
        </w:rPr>
      </w:pPr>
      <w:r>
        <w:rPr>
          <w:rFonts w:hint="eastAsia"/>
          <w:b/>
          <w:bCs/>
          <w:lang w:val="en-US" w:eastAsia="zh-CN"/>
        </w:rPr>
        <w:t xml:space="preserve">（6）防不良地质 </w:t>
      </w:r>
    </w:p>
    <w:p w14:paraId="04305C10">
      <w:pPr>
        <w:bidi w:val="0"/>
        <w:rPr>
          <w:rFonts w:hint="eastAsia"/>
          <w:lang w:val="en-US" w:eastAsia="zh-CN"/>
        </w:rPr>
      </w:pPr>
      <w:r>
        <w:rPr>
          <w:rFonts w:hint="eastAsia"/>
          <w:lang w:val="en-US" w:eastAsia="zh-CN"/>
        </w:rPr>
        <w:t xml:space="preserve">工程区内植被发育较好，不良地质现象不甚发育。 </w:t>
      </w:r>
    </w:p>
    <w:p w14:paraId="17D9D071">
      <w:pPr>
        <w:bidi w:val="0"/>
        <w:rPr>
          <w:rFonts w:hint="eastAsia"/>
          <w:b/>
          <w:bCs/>
          <w:lang w:val="en-US" w:eastAsia="zh-CN"/>
        </w:rPr>
      </w:pPr>
      <w:r>
        <w:rPr>
          <w:rFonts w:hint="eastAsia"/>
          <w:b/>
          <w:bCs/>
          <w:lang w:val="en-US" w:eastAsia="zh-CN"/>
        </w:rPr>
        <w:t xml:space="preserve">（7）机械作业安全 </w:t>
      </w:r>
    </w:p>
    <w:p w14:paraId="11EF6683">
      <w:pPr>
        <w:bidi w:val="0"/>
        <w:rPr>
          <w:rFonts w:hint="eastAsia"/>
          <w:lang w:val="en-US" w:eastAsia="zh-CN"/>
        </w:rPr>
      </w:pPr>
      <w:r>
        <w:rPr>
          <w:rFonts w:hint="eastAsia"/>
          <w:lang w:val="en-US" w:eastAsia="zh-CN"/>
        </w:rPr>
        <w:t xml:space="preserve">1）做到一切机械设备在使用前，均进行常规检查和试运转，特别注意制动系统是否完好。详细检查各部件和仪表读数是否正常，周围有无干扰，在确认无问题时，才正式运转。 </w:t>
      </w:r>
    </w:p>
    <w:p w14:paraId="69BFB7FD">
      <w:pPr>
        <w:bidi w:val="0"/>
        <w:rPr>
          <w:rFonts w:hint="eastAsia"/>
          <w:lang w:val="en-US" w:eastAsia="zh-CN"/>
        </w:rPr>
      </w:pPr>
      <w:r>
        <w:rPr>
          <w:rFonts w:hint="eastAsia"/>
          <w:lang w:val="en-US" w:eastAsia="zh-CN"/>
        </w:rPr>
        <w:t xml:space="preserve">2）机械定机定人操作，持证上岗。不熟悉机械性能和操作方法的人员不单独操作。非专业人员禁止开动机械设备。 </w:t>
      </w:r>
    </w:p>
    <w:p w14:paraId="22A911B6">
      <w:pPr>
        <w:bidi w:val="0"/>
        <w:rPr>
          <w:rFonts w:hint="eastAsia"/>
          <w:lang w:val="en-US" w:eastAsia="zh-CN"/>
        </w:rPr>
      </w:pPr>
      <w:r>
        <w:rPr>
          <w:rFonts w:hint="eastAsia"/>
          <w:lang w:val="en-US" w:eastAsia="zh-CN"/>
        </w:rPr>
        <w:t xml:space="preserve">3）各种机械都要按规定进行维修、保养，并认真填写运转记录和维修保养记录。 </w:t>
      </w:r>
    </w:p>
    <w:p w14:paraId="20916641">
      <w:pPr>
        <w:bidi w:val="0"/>
        <w:rPr>
          <w:rFonts w:hint="eastAsia"/>
          <w:b/>
          <w:bCs/>
          <w:lang w:val="en-US" w:eastAsia="zh-CN"/>
        </w:rPr>
      </w:pPr>
      <w:r>
        <w:rPr>
          <w:rFonts w:hint="eastAsia"/>
          <w:b/>
          <w:bCs/>
          <w:lang w:val="en-US" w:eastAsia="zh-CN"/>
        </w:rPr>
        <w:t xml:space="preserve">（8）混凝土浇筑作业安全 </w:t>
      </w:r>
    </w:p>
    <w:p w14:paraId="540CD334">
      <w:pPr>
        <w:bidi w:val="0"/>
        <w:rPr>
          <w:rFonts w:hint="eastAsia"/>
          <w:lang w:val="en-US" w:eastAsia="zh-CN"/>
        </w:rPr>
      </w:pPr>
      <w:r>
        <w:rPr>
          <w:rFonts w:hint="eastAsia"/>
          <w:lang w:val="en-US" w:eastAsia="zh-CN"/>
        </w:rPr>
        <w:t xml:space="preserve">1）砼浇筑安全措施 </w:t>
      </w:r>
    </w:p>
    <w:p w14:paraId="52297428">
      <w:pPr>
        <w:bidi w:val="0"/>
        <w:rPr>
          <w:rFonts w:hint="eastAsia"/>
          <w:lang w:val="en-US" w:eastAsia="zh-CN"/>
        </w:rPr>
      </w:pPr>
      <w:r>
        <w:rPr>
          <w:rFonts w:hint="eastAsia"/>
          <w:lang w:val="en-US" w:eastAsia="zh-CN"/>
        </w:rPr>
        <w:t xml:space="preserve">砼浇筑前应先确定浇筑方法，检查模板的牢固情况，并清扫道路和施工现场，浇筑过程中派专人监控模板、支撑和排架，如发生变化，必须及时加固或采取其它应急措施。 </w:t>
      </w:r>
    </w:p>
    <w:p w14:paraId="1E7F3C82">
      <w:pPr>
        <w:bidi w:val="0"/>
        <w:rPr>
          <w:rFonts w:hint="eastAsia"/>
          <w:lang w:val="en-US" w:eastAsia="zh-CN"/>
        </w:rPr>
      </w:pPr>
      <w:r>
        <w:rPr>
          <w:rFonts w:hint="eastAsia"/>
          <w:lang w:val="en-US" w:eastAsia="zh-CN"/>
        </w:rPr>
        <w:t xml:space="preserve">砼振捣器使用前，应检查电动机的电压、相数及绝缘情况，振捣器使用时，严防电线擦破漏电。严禁湿手接触开关。 </w:t>
      </w:r>
    </w:p>
    <w:p w14:paraId="15DA3BB6">
      <w:pPr>
        <w:bidi w:val="0"/>
        <w:rPr>
          <w:rFonts w:hint="eastAsia"/>
          <w:lang w:val="en-US" w:eastAsia="zh-CN"/>
        </w:rPr>
      </w:pPr>
      <w:r>
        <w:rPr>
          <w:rFonts w:hint="eastAsia"/>
          <w:lang w:val="en-US" w:eastAsia="zh-CN"/>
        </w:rPr>
        <w:t xml:space="preserve">凿毛冲洗人员工作前应穿好雨衣、雨裤，检查凿毛机气、水管接头是否良好，冲洗操作时派专人负责凿毛机的移动和使用，严防机械伤人。 </w:t>
      </w:r>
    </w:p>
    <w:p w14:paraId="132F899E">
      <w:pPr>
        <w:bidi w:val="0"/>
        <w:rPr>
          <w:rFonts w:hint="eastAsia"/>
          <w:lang w:val="en-US" w:eastAsia="zh-CN"/>
        </w:rPr>
      </w:pPr>
      <w:r>
        <w:rPr>
          <w:rFonts w:hint="eastAsia"/>
          <w:lang w:val="en-US" w:eastAsia="zh-CN"/>
        </w:rPr>
        <w:t xml:space="preserve">2）钢筋制作、安装作业安全措施 </w:t>
      </w:r>
    </w:p>
    <w:p w14:paraId="4E54A9B6">
      <w:pPr>
        <w:bidi w:val="0"/>
        <w:rPr>
          <w:rFonts w:hint="eastAsia"/>
          <w:lang w:val="en-US" w:eastAsia="zh-CN"/>
        </w:rPr>
      </w:pPr>
      <w:r>
        <w:rPr>
          <w:rFonts w:hint="eastAsia"/>
          <w:lang w:val="en-US" w:eastAsia="zh-CN"/>
        </w:rPr>
        <w:t xml:space="preserve">钢材、半成品等应按规格、品种分别堆放整齐，制作场地要平整，工作台要稳固，照明灯具必须加网罩。 </w:t>
      </w:r>
    </w:p>
    <w:p w14:paraId="67EA7A16">
      <w:pPr>
        <w:bidi w:val="0"/>
        <w:rPr>
          <w:rFonts w:hint="eastAsia"/>
          <w:lang w:val="en-US" w:eastAsia="zh-CN"/>
        </w:rPr>
      </w:pPr>
      <w:r>
        <w:rPr>
          <w:rFonts w:hint="eastAsia"/>
          <w:lang w:val="en-US" w:eastAsia="zh-CN"/>
        </w:rPr>
        <w:t xml:space="preserve">拉直钢筋，卡头要卡牢，地锚要结实牢固，拉筋沿线两米区域内禁止行人。展开盘园筋要一头卡牢，防止回弹伤人，切断时要用脚踩紧。 </w:t>
      </w:r>
    </w:p>
    <w:p w14:paraId="2C080C93">
      <w:pPr>
        <w:bidi w:val="0"/>
        <w:rPr>
          <w:rFonts w:hint="eastAsia"/>
          <w:lang w:val="en-US" w:eastAsia="zh-CN"/>
        </w:rPr>
      </w:pPr>
      <w:r>
        <w:rPr>
          <w:rFonts w:hint="eastAsia"/>
          <w:lang w:val="en-US" w:eastAsia="zh-CN"/>
        </w:rPr>
        <w:t xml:space="preserve">切断钢筋禁止超过机械的负载能力。在断料时，手与刀口距离不小于15厘米，活动刀片前进时，禁止送料。切长钢筋应有专人扶住，操作动作要一致，不任意拖拉。切断钢筋需要用套管或钳子夹料，禁止用手直接送料。 </w:t>
      </w:r>
    </w:p>
    <w:p w14:paraId="51955223">
      <w:pPr>
        <w:bidi w:val="0"/>
        <w:rPr>
          <w:rFonts w:hint="eastAsia"/>
          <w:lang w:val="en-US" w:eastAsia="zh-CN"/>
        </w:rPr>
      </w:pPr>
      <w:r>
        <w:rPr>
          <w:rFonts w:hint="eastAsia"/>
          <w:lang w:val="en-US" w:eastAsia="zh-CN"/>
        </w:rPr>
        <w:t xml:space="preserve">弯曲钢筋要贴紧挡板，注意放入插头的位置和回转方向不开错。调头弯曲，防止碰撞人和物，更换插头，加油和清理，必须停机后进行。 </w:t>
      </w:r>
    </w:p>
    <w:p w14:paraId="43DE9C9F">
      <w:pPr>
        <w:bidi w:val="0"/>
        <w:rPr>
          <w:rFonts w:hint="eastAsia"/>
          <w:lang w:val="en-US" w:eastAsia="zh-CN"/>
        </w:rPr>
      </w:pPr>
      <w:r>
        <w:rPr>
          <w:rFonts w:hint="eastAsia"/>
          <w:lang w:val="en-US" w:eastAsia="zh-CN"/>
        </w:rPr>
        <w:t xml:space="preserve">点焊机的操作人员，必须熟悉点焊机的构造、性能，以及保养和操作方法，工作时应穿戴防护用品，并站在橡胶板或木板上。焊机应设在干燥的地方，平稳牢固，要有可靠的接地装置，导线绝缘良好。焊接前，应根据钢筋截面调整电压，发现焊头漏电，应立即更换。 </w:t>
      </w:r>
    </w:p>
    <w:p w14:paraId="3FA47E1E">
      <w:pPr>
        <w:bidi w:val="0"/>
        <w:rPr>
          <w:rFonts w:hint="eastAsia"/>
          <w:lang w:val="en-US" w:eastAsia="zh-CN"/>
        </w:rPr>
      </w:pPr>
      <w:r>
        <w:rPr>
          <w:rFonts w:hint="eastAsia"/>
          <w:lang w:val="en-US" w:eastAsia="zh-CN"/>
        </w:rPr>
        <w:t xml:space="preserve">对焊机断路器的接触点、电极（铜头），要定期检查修理。冷却水管保持畅通，不得漏水和超过温度。 </w:t>
      </w:r>
    </w:p>
    <w:p w14:paraId="0CF66106">
      <w:pPr>
        <w:bidi w:val="0"/>
        <w:rPr>
          <w:rFonts w:hint="eastAsia"/>
          <w:lang w:val="en-US" w:eastAsia="zh-CN"/>
        </w:rPr>
      </w:pPr>
      <w:r>
        <w:rPr>
          <w:rFonts w:hint="eastAsia"/>
          <w:lang w:val="en-US" w:eastAsia="zh-CN"/>
        </w:rPr>
        <w:t xml:space="preserve">多人合运钢筋，起、落、转、停动作要一致，人工上下传送不得在同一垂直线上。在高空、深坑绑扎钢筋和安装骨架，须搭设脚手架。在已扎钢筋的模板上行走，应另设支架，上铺木板通路。 </w:t>
      </w:r>
    </w:p>
    <w:p w14:paraId="5EF338EF">
      <w:pPr>
        <w:bidi w:val="0"/>
        <w:rPr>
          <w:rFonts w:hint="eastAsia"/>
          <w:lang w:val="en-US" w:eastAsia="zh-CN"/>
        </w:rPr>
      </w:pPr>
      <w:r>
        <w:rPr>
          <w:rFonts w:hint="eastAsia"/>
          <w:lang w:val="en-US" w:eastAsia="zh-CN"/>
        </w:rPr>
        <w:t xml:space="preserve">3）电焊接作业安全措施 </w:t>
      </w:r>
    </w:p>
    <w:p w14:paraId="5B3F5D63">
      <w:pPr>
        <w:bidi w:val="0"/>
        <w:rPr>
          <w:rFonts w:hint="eastAsia"/>
          <w:lang w:val="en-US" w:eastAsia="zh-CN"/>
        </w:rPr>
      </w:pPr>
      <w:r>
        <w:rPr>
          <w:rFonts w:hint="eastAsia"/>
          <w:lang w:val="en-US" w:eastAsia="zh-CN"/>
        </w:rPr>
        <w:t xml:space="preserve">电焊工要熟悉电焊机构造、性能以及保养和操作方法。工作前必须检查机械部分和电器部分的完好情况，并穿戴好绝缘防护用品。 </w:t>
      </w:r>
    </w:p>
    <w:p w14:paraId="766C9F3F">
      <w:pPr>
        <w:bidi w:val="0"/>
        <w:rPr>
          <w:rFonts w:hint="eastAsia"/>
          <w:lang w:val="en-US" w:eastAsia="zh-CN"/>
        </w:rPr>
      </w:pPr>
      <w:r>
        <w:rPr>
          <w:rFonts w:hint="eastAsia"/>
          <w:lang w:val="en-US" w:eastAsia="zh-CN"/>
        </w:rPr>
        <w:t xml:space="preserve">焊接作业时，应经常检查电机部分或变压器外壳温度是否超过 60℃，发现过热，须停止工作进行检查。 </w:t>
      </w:r>
    </w:p>
    <w:p w14:paraId="0F06B9D1">
      <w:pPr>
        <w:bidi w:val="0"/>
        <w:rPr>
          <w:rFonts w:hint="eastAsia"/>
          <w:lang w:val="en-US" w:eastAsia="zh-CN"/>
        </w:rPr>
      </w:pPr>
      <w:r>
        <w:rPr>
          <w:rFonts w:hint="eastAsia"/>
          <w:lang w:val="en-US" w:eastAsia="zh-CN"/>
        </w:rPr>
        <w:t xml:space="preserve">在潮湿处工作时，不可触摸电焊设备的导电部分，发现“麻手”现象时，必须及时检修。进行坐焊或卧焊作业时，应备有绝缘垫。 </w:t>
      </w:r>
    </w:p>
    <w:p w14:paraId="367DBBCD">
      <w:pPr>
        <w:bidi w:val="0"/>
        <w:rPr>
          <w:rFonts w:hint="eastAsia"/>
          <w:lang w:val="en-US" w:eastAsia="zh-CN"/>
        </w:rPr>
      </w:pPr>
      <w:r>
        <w:rPr>
          <w:rFonts w:hint="eastAsia"/>
          <w:lang w:val="en-US" w:eastAsia="zh-CN"/>
        </w:rPr>
        <w:t xml:space="preserve">焊接场所附近不放置油料和其他易燃、易爆物品。与氧气瓶应保持5米以上距离。在高空进行电、气焊工作时，除确保人身安全措施外，还应完善防烫、防火措施。 </w:t>
      </w:r>
    </w:p>
    <w:p w14:paraId="149264F5">
      <w:pPr>
        <w:bidi w:val="0"/>
        <w:rPr>
          <w:rFonts w:hint="eastAsia"/>
          <w:b/>
          <w:bCs/>
          <w:lang w:val="en-US" w:eastAsia="zh-CN"/>
        </w:rPr>
      </w:pPr>
      <w:r>
        <w:rPr>
          <w:rFonts w:hint="eastAsia"/>
          <w:b/>
          <w:bCs/>
          <w:lang w:val="en-US" w:eastAsia="zh-CN"/>
        </w:rPr>
        <w:t xml:space="preserve">（9）运输作业安全 </w:t>
      </w:r>
    </w:p>
    <w:p w14:paraId="0060993B">
      <w:pPr>
        <w:bidi w:val="0"/>
        <w:rPr>
          <w:rFonts w:hint="eastAsia"/>
          <w:lang w:val="en-US" w:eastAsia="zh-CN"/>
        </w:rPr>
      </w:pPr>
      <w:r>
        <w:rPr>
          <w:rFonts w:hint="eastAsia"/>
          <w:lang w:val="en-US" w:eastAsia="zh-CN"/>
        </w:rPr>
        <w:t xml:space="preserve">1）凡在工区内行驶和进行运输作业的车辆都必须遵守《中华人民共和国道路交通安全法》。工区内应按限定速度行驶，施工区内行驶速度不能超过25km/h。 </w:t>
      </w:r>
    </w:p>
    <w:p w14:paraId="7B3C4C2E">
      <w:pPr>
        <w:bidi w:val="0"/>
        <w:rPr>
          <w:rFonts w:hint="eastAsia"/>
          <w:lang w:val="en-US" w:eastAsia="zh-CN"/>
        </w:rPr>
      </w:pPr>
      <w:r>
        <w:rPr>
          <w:rFonts w:hint="eastAsia"/>
          <w:lang w:val="en-US" w:eastAsia="zh-CN"/>
        </w:rPr>
        <w:t xml:space="preserve">2）加强车辆行车安全管理，配备专职（或兼职）车辆安全员，车辆安全员应每天检查车辆状况，确保方向、刹车、灯光等系统正常，严禁车辆带病运行。 </w:t>
      </w:r>
    </w:p>
    <w:p w14:paraId="77513029">
      <w:pPr>
        <w:bidi w:val="0"/>
        <w:rPr>
          <w:rFonts w:hint="eastAsia"/>
          <w:lang w:val="en-US" w:eastAsia="zh-CN"/>
        </w:rPr>
      </w:pPr>
      <w:r>
        <w:rPr>
          <w:rFonts w:hint="eastAsia"/>
          <w:lang w:val="en-US" w:eastAsia="zh-CN"/>
        </w:rPr>
        <w:t xml:space="preserve">3）加强对汽车驾驶员的安全教育与技术考核，严禁酒后开车和无证驾驶，避免疲劳开车。 </w:t>
      </w:r>
    </w:p>
    <w:p w14:paraId="3B687CC5">
      <w:pPr>
        <w:bidi w:val="0"/>
        <w:rPr>
          <w:rFonts w:hint="eastAsia"/>
          <w:lang w:val="en-US" w:eastAsia="zh-CN"/>
        </w:rPr>
      </w:pPr>
      <w:r>
        <w:rPr>
          <w:rFonts w:hint="eastAsia"/>
          <w:lang w:val="en-US" w:eastAsia="zh-CN"/>
        </w:rPr>
        <w:t xml:space="preserve"> 4）所有运载车辆均做到不超载、超宽、超高运输。 </w:t>
      </w:r>
    </w:p>
    <w:p w14:paraId="6475E2DD">
      <w:pPr>
        <w:bidi w:val="0"/>
        <w:rPr>
          <w:rFonts w:hint="eastAsia"/>
          <w:b/>
          <w:bCs/>
          <w:lang w:val="en-US" w:eastAsia="zh-CN"/>
        </w:rPr>
      </w:pPr>
      <w:r>
        <w:rPr>
          <w:rFonts w:hint="eastAsia"/>
          <w:b/>
          <w:bCs/>
          <w:lang w:val="en-US" w:eastAsia="zh-CN"/>
        </w:rPr>
        <w:t xml:space="preserve">（10）起重机吊装作业安全 </w:t>
      </w:r>
    </w:p>
    <w:p w14:paraId="065C2C28">
      <w:pPr>
        <w:bidi w:val="0"/>
        <w:rPr>
          <w:rFonts w:hint="eastAsia"/>
          <w:lang w:val="en-US" w:eastAsia="zh-CN"/>
        </w:rPr>
      </w:pPr>
      <w:r>
        <w:rPr>
          <w:rFonts w:hint="eastAsia"/>
          <w:lang w:val="en-US" w:eastAsia="zh-CN"/>
        </w:rPr>
        <w:t xml:space="preserve">1）起吊物件的重量不得超过起重设备的额定起重量。 </w:t>
      </w:r>
    </w:p>
    <w:p w14:paraId="057C515D">
      <w:pPr>
        <w:bidi w:val="0"/>
        <w:rPr>
          <w:rFonts w:hint="eastAsia"/>
          <w:lang w:val="en-US" w:eastAsia="zh-CN"/>
        </w:rPr>
      </w:pPr>
      <w:r>
        <w:rPr>
          <w:rFonts w:hint="eastAsia"/>
          <w:lang w:val="en-US" w:eastAsia="zh-CN"/>
        </w:rPr>
        <w:t xml:space="preserve">2）起吊重物时，应先将重物吊离地面30cm左右，由起重工检查被吊物件绑扎的牢固性和平稳性，然后再继续提升。 </w:t>
      </w:r>
    </w:p>
    <w:p w14:paraId="597508E0">
      <w:pPr>
        <w:bidi w:val="0"/>
        <w:rPr>
          <w:rFonts w:hint="eastAsia"/>
          <w:lang w:val="en-US" w:eastAsia="zh-CN"/>
        </w:rPr>
      </w:pPr>
      <w:r>
        <w:rPr>
          <w:rFonts w:hint="eastAsia"/>
          <w:lang w:val="en-US" w:eastAsia="zh-CN"/>
        </w:rPr>
        <w:t xml:space="preserve">3）严禁在起吊重物上堆放或悬挂零星物件，零星物品和材料必须用吊笼或用钢丝绳捆绑牢固后，方可起吊。 </w:t>
      </w:r>
    </w:p>
    <w:p w14:paraId="595D8C7B">
      <w:pPr>
        <w:bidi w:val="0"/>
        <w:rPr>
          <w:rFonts w:hint="eastAsia"/>
          <w:lang w:val="en-US" w:eastAsia="zh-CN"/>
        </w:rPr>
      </w:pPr>
      <w:r>
        <w:rPr>
          <w:rFonts w:hint="eastAsia"/>
          <w:lang w:val="en-US" w:eastAsia="zh-CN"/>
        </w:rPr>
        <w:t xml:space="preserve">4）吊装前应对各种起吊工具（钢丝绳、滑轮、卡环、绳夹等）进行认真检查。发现裂纹、破损、失灵等不符合安全使用要求的不得使用，同时还必须对起吊物件进行检查，有脱焊或断裂的要处理好后方能起吊。 </w:t>
      </w:r>
    </w:p>
    <w:p w14:paraId="52FEAB5B">
      <w:pPr>
        <w:bidi w:val="0"/>
        <w:rPr>
          <w:rFonts w:hint="eastAsia"/>
          <w:lang w:val="en-US" w:eastAsia="zh-CN"/>
        </w:rPr>
      </w:pPr>
      <w:r>
        <w:rPr>
          <w:rFonts w:hint="eastAsia"/>
          <w:lang w:val="en-US" w:eastAsia="zh-CN"/>
        </w:rPr>
        <w:t xml:space="preserve">5）吊装过程中，要设置警戒标志，非作业人员不得进入作业区，作业场地周围如有易燃、易爆等危险物品时，要采取可靠的隔离措施，以保证操作人员和机具、设备的安全。 </w:t>
      </w:r>
    </w:p>
    <w:p w14:paraId="69D86E7F">
      <w:pPr>
        <w:bidi w:val="0"/>
        <w:rPr>
          <w:rFonts w:hint="eastAsia"/>
          <w:lang w:val="en-US" w:eastAsia="zh-CN"/>
        </w:rPr>
      </w:pPr>
      <w:r>
        <w:rPr>
          <w:rFonts w:hint="eastAsia"/>
          <w:lang w:val="en-US" w:eastAsia="zh-CN"/>
        </w:rPr>
        <w:t>6）在恶劣天气情况下，如大风、大雨、大雾天气下，不得从事大件吊装作业。</w:t>
      </w:r>
    </w:p>
    <w:p w14:paraId="251A2D0A">
      <w:pPr>
        <w:pStyle w:val="4"/>
        <w:bidi w:val="0"/>
      </w:pPr>
      <w:bookmarkStart w:id="157" w:name="_Toc20702"/>
      <w:r>
        <w:rPr>
          <w:rFonts w:hint="eastAsia"/>
          <w:lang w:val="en-US" w:eastAsia="zh-CN"/>
        </w:rPr>
        <w:t>6</w:t>
      </w:r>
      <w:r>
        <w:rPr>
          <w:lang w:val="en-US" w:eastAsia="zh-CN"/>
        </w:rPr>
        <w:t xml:space="preserve">.3.2 </w:t>
      </w:r>
      <w:r>
        <w:rPr>
          <w:rFonts w:hint="eastAsia"/>
          <w:lang w:val="en-US" w:eastAsia="zh-CN"/>
        </w:rPr>
        <w:t>工业卫生措施</w:t>
      </w:r>
      <w:bookmarkEnd w:id="157"/>
    </w:p>
    <w:p w14:paraId="0A40D8E6">
      <w:pPr>
        <w:bidi w:val="0"/>
        <w:rPr>
          <w:rFonts w:hint="eastAsia"/>
          <w:lang w:val="en-US" w:eastAsia="zh-CN"/>
        </w:rPr>
      </w:pPr>
      <w:r>
        <w:rPr>
          <w:rFonts w:hint="eastAsia"/>
          <w:lang w:val="en-US" w:eastAsia="zh-CN"/>
        </w:rPr>
        <w:t xml:space="preserve">工业卫生主要包括防噪声、防振动、防尘、防污、防腐浊及温度、湿度控制、采光、照明等。 </w:t>
      </w:r>
    </w:p>
    <w:p w14:paraId="4EEFC3F6">
      <w:pPr>
        <w:pStyle w:val="5"/>
        <w:bidi w:val="0"/>
        <w:rPr>
          <w:rFonts w:hint="eastAsia"/>
          <w:lang w:val="en-US" w:eastAsia="zh-CN"/>
        </w:rPr>
      </w:pPr>
      <w:r>
        <w:rPr>
          <w:rFonts w:hint="eastAsia"/>
          <w:lang w:val="en-US" w:eastAsia="zh-CN"/>
        </w:rPr>
        <w:t xml:space="preserve">6.3.2.1 防噪声、防振动 </w:t>
      </w:r>
    </w:p>
    <w:p w14:paraId="0F733182">
      <w:pPr>
        <w:bidi w:val="0"/>
        <w:rPr>
          <w:rFonts w:hint="eastAsia"/>
          <w:lang w:val="en-US" w:eastAsia="zh-CN"/>
        </w:rPr>
      </w:pPr>
      <w:r>
        <w:rPr>
          <w:rFonts w:hint="eastAsia"/>
          <w:lang w:val="en-US" w:eastAsia="zh-CN"/>
        </w:rPr>
        <w:t xml:space="preserve">由于施工期间设备多，因此在靠近居民点的施工区域，要避免夜间施工，尽量采用噪声小的设备。 </w:t>
      </w:r>
    </w:p>
    <w:p w14:paraId="49F85E47">
      <w:pPr>
        <w:bidi w:val="0"/>
        <w:rPr>
          <w:rFonts w:hint="eastAsia"/>
          <w:lang w:val="en-US" w:eastAsia="zh-CN"/>
        </w:rPr>
      </w:pPr>
      <w:r>
        <w:rPr>
          <w:rFonts w:hint="eastAsia"/>
          <w:lang w:val="en-US" w:eastAsia="zh-CN"/>
        </w:rPr>
        <w:t xml:space="preserve">在工程完工后，管道的设备主要是管道闸阀，其产生的噪声、振动相当有限，可不设置特别的措施。 </w:t>
      </w:r>
    </w:p>
    <w:p w14:paraId="206B786E">
      <w:pPr>
        <w:pStyle w:val="5"/>
        <w:bidi w:val="0"/>
        <w:rPr>
          <w:rFonts w:hint="eastAsia"/>
          <w:lang w:val="en-US" w:eastAsia="zh-CN"/>
        </w:rPr>
      </w:pPr>
      <w:r>
        <w:rPr>
          <w:rFonts w:hint="eastAsia"/>
          <w:lang w:val="en-US" w:eastAsia="zh-CN"/>
        </w:rPr>
        <w:t xml:space="preserve">6.3.2.2 防尘 </w:t>
      </w:r>
    </w:p>
    <w:p w14:paraId="58DCF704">
      <w:pPr>
        <w:bidi w:val="0"/>
        <w:rPr>
          <w:rFonts w:hint="eastAsia"/>
          <w:lang w:val="en-US" w:eastAsia="zh-CN"/>
        </w:rPr>
      </w:pPr>
      <w:r>
        <w:rPr>
          <w:rFonts w:hint="eastAsia"/>
          <w:lang w:val="en-US" w:eastAsia="zh-CN"/>
        </w:rPr>
        <w:t xml:space="preserve">（1）在施工开挖时，施工人员须佩戴防尘、防毒面具。 </w:t>
      </w:r>
    </w:p>
    <w:p w14:paraId="00E336BD">
      <w:pPr>
        <w:bidi w:val="0"/>
        <w:rPr>
          <w:rFonts w:hint="eastAsia"/>
          <w:lang w:val="en-US" w:eastAsia="zh-CN"/>
        </w:rPr>
      </w:pPr>
      <w:r>
        <w:rPr>
          <w:rFonts w:hint="eastAsia"/>
          <w:lang w:val="en-US" w:eastAsia="zh-CN"/>
        </w:rPr>
        <w:t xml:space="preserve">（2）建筑物的拆除，除施工人员佩戴防尘面具外，可根据情况，采取临时洒水等除尘措施。 </w:t>
      </w:r>
    </w:p>
    <w:p w14:paraId="61F5EBF2">
      <w:pPr>
        <w:bidi w:val="0"/>
        <w:rPr>
          <w:rFonts w:hint="eastAsia"/>
          <w:lang w:val="en-US" w:eastAsia="zh-CN"/>
        </w:rPr>
      </w:pPr>
      <w:r>
        <w:rPr>
          <w:rFonts w:hint="eastAsia"/>
          <w:lang w:val="en-US" w:eastAsia="zh-CN"/>
        </w:rPr>
        <w:t xml:space="preserve">（3）工程完工后，对设备只需进行日常维护即可，无须进行特别的防尘措施。 </w:t>
      </w:r>
    </w:p>
    <w:p w14:paraId="5AEEA465">
      <w:pPr>
        <w:pStyle w:val="5"/>
        <w:bidi w:val="0"/>
        <w:rPr>
          <w:rFonts w:hint="eastAsia"/>
          <w:lang w:val="en-US" w:eastAsia="zh-CN"/>
        </w:rPr>
      </w:pPr>
      <w:r>
        <w:rPr>
          <w:rFonts w:hint="eastAsia"/>
          <w:lang w:val="en-US" w:eastAsia="zh-CN"/>
        </w:rPr>
        <w:t>6.2.2.3 防污</w:t>
      </w:r>
    </w:p>
    <w:p w14:paraId="5EE2F739">
      <w:pPr>
        <w:bidi w:val="0"/>
        <w:rPr>
          <w:rFonts w:hint="eastAsia"/>
          <w:lang w:val="en-US" w:eastAsia="zh-CN"/>
        </w:rPr>
      </w:pPr>
      <w:r>
        <w:rPr>
          <w:rFonts w:hint="eastAsia"/>
          <w:lang w:val="en-US" w:eastAsia="zh-CN"/>
        </w:rPr>
        <w:t xml:space="preserve">（1）施工期间，由于机械设备、人员的相对集中，会产生一定的局部区域的废气、废油及生活污水的聚集，需对废水、废油、垃圾机械集中处理。 </w:t>
      </w:r>
    </w:p>
    <w:p w14:paraId="7CAF7C5E">
      <w:pPr>
        <w:bidi w:val="0"/>
        <w:rPr>
          <w:rFonts w:hint="eastAsia"/>
          <w:lang w:val="en-US" w:eastAsia="zh-CN"/>
        </w:rPr>
      </w:pPr>
      <w:r>
        <w:rPr>
          <w:rFonts w:hint="eastAsia"/>
          <w:lang w:val="en-US" w:eastAsia="zh-CN"/>
        </w:rPr>
        <w:t xml:space="preserve">（2）施工中要做到生产、生活区分设，同时在各工区设置废物、废水的集中收集点，加强公共卫生设施的建设。 </w:t>
      </w:r>
    </w:p>
    <w:p w14:paraId="77767261">
      <w:pPr>
        <w:pStyle w:val="5"/>
        <w:bidi w:val="0"/>
        <w:rPr>
          <w:rFonts w:hint="eastAsia"/>
          <w:lang w:val="en-US" w:eastAsia="zh-CN"/>
        </w:rPr>
      </w:pPr>
      <w:r>
        <w:rPr>
          <w:rFonts w:hint="eastAsia"/>
          <w:lang w:val="en-US" w:eastAsia="zh-CN"/>
        </w:rPr>
        <w:t xml:space="preserve">6.2.2.4 防腐蚀 </w:t>
      </w:r>
    </w:p>
    <w:p w14:paraId="3CD91118">
      <w:pPr>
        <w:bidi w:val="0"/>
        <w:rPr>
          <w:rFonts w:hint="eastAsia"/>
          <w:lang w:val="en-US" w:eastAsia="zh-CN"/>
        </w:rPr>
      </w:pPr>
      <w:r>
        <w:rPr>
          <w:rFonts w:hint="eastAsia"/>
          <w:lang w:val="en-US" w:eastAsia="zh-CN"/>
        </w:rPr>
        <w:t xml:space="preserve">金属结构、设备支撑构件、水管和气管根据不同的环境采取经济合理的防腐蚀措施。除锈、涂漆、镀锌、喷塑等防腐处理工艺按国家的有关规定进行。电缆桥架采用热镀锌处理。 </w:t>
      </w:r>
    </w:p>
    <w:p w14:paraId="474D3EFA">
      <w:pPr>
        <w:pStyle w:val="5"/>
        <w:bidi w:val="0"/>
        <w:rPr>
          <w:rFonts w:hint="eastAsia"/>
          <w:lang w:val="en-US" w:eastAsia="zh-CN"/>
        </w:rPr>
      </w:pPr>
      <w:r>
        <w:rPr>
          <w:rFonts w:hint="eastAsia"/>
          <w:lang w:val="en-US" w:eastAsia="zh-CN"/>
        </w:rPr>
        <w:t xml:space="preserve">6.2.2.5 采光与照明 </w:t>
      </w:r>
    </w:p>
    <w:p w14:paraId="4C7AE8B7">
      <w:pPr>
        <w:bidi w:val="0"/>
        <w:rPr>
          <w:rFonts w:hint="eastAsia"/>
          <w:lang w:val="en-US" w:eastAsia="zh-CN"/>
        </w:rPr>
      </w:pPr>
      <w:r>
        <w:rPr>
          <w:rFonts w:hint="eastAsia"/>
          <w:lang w:val="en-US" w:eastAsia="zh-CN"/>
        </w:rPr>
        <w:t xml:space="preserve">对地面建筑物充分利用自然采光，对建筑物主要依靠人工照明，各类工作场所人工照明的照度满足有关标准的规定。 </w:t>
      </w:r>
    </w:p>
    <w:p w14:paraId="535ED2A9">
      <w:pPr>
        <w:pStyle w:val="5"/>
        <w:bidi w:val="0"/>
        <w:rPr>
          <w:rFonts w:hint="eastAsia"/>
          <w:lang w:val="en-US" w:eastAsia="zh-CN"/>
        </w:rPr>
      </w:pPr>
      <w:r>
        <w:rPr>
          <w:rFonts w:hint="eastAsia"/>
          <w:lang w:val="en-US" w:eastAsia="zh-CN"/>
        </w:rPr>
        <w:t xml:space="preserve">6.2.2.6 防止放射性和有害物质危害 </w:t>
      </w:r>
    </w:p>
    <w:p w14:paraId="070E6E29">
      <w:pPr>
        <w:bidi w:val="0"/>
        <w:rPr>
          <w:rFonts w:hint="eastAsia"/>
          <w:lang w:val="en-US" w:eastAsia="zh-CN"/>
        </w:rPr>
      </w:pPr>
      <w:r>
        <w:rPr>
          <w:rFonts w:hint="eastAsia"/>
          <w:lang w:val="en-US" w:eastAsia="zh-CN"/>
        </w:rPr>
        <w:t xml:space="preserve">工程使用的砂、石、砖、水泥、商品混凝土、预制构件和新型墙体材料等无机非金属建筑主体材料，其放射性指标限值应符合下表规定。 </w:t>
      </w:r>
    </w:p>
    <w:p w14:paraId="3EBBA1EA">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lang w:val="en-US" w:eastAsia="zh-CN"/>
        </w:rPr>
        <w:t>表6.2-1 无机非金属建筑主体材料放射性指标限值</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8AA2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noWrap w:val="0"/>
            <w:vAlign w:val="center"/>
          </w:tcPr>
          <w:p w14:paraId="3E569852">
            <w:pPr>
              <w:pStyle w:val="24"/>
              <w:bidi w:val="0"/>
              <w:rPr>
                <w:rFonts w:hint="default"/>
                <w:lang w:val="en-US" w:eastAsia="zh-CN"/>
              </w:rPr>
            </w:pPr>
            <w:r>
              <w:rPr>
                <w:rFonts w:hint="default"/>
                <w:lang w:val="en-US" w:eastAsia="zh-CN"/>
              </w:rPr>
              <w:t>测定项目</w:t>
            </w:r>
          </w:p>
        </w:tc>
        <w:tc>
          <w:tcPr>
            <w:tcW w:w="4261" w:type="dxa"/>
            <w:noWrap w:val="0"/>
            <w:vAlign w:val="center"/>
          </w:tcPr>
          <w:p w14:paraId="285D3ABF">
            <w:pPr>
              <w:pStyle w:val="24"/>
              <w:bidi w:val="0"/>
              <w:rPr>
                <w:rFonts w:hint="default"/>
                <w:lang w:val="en-US" w:eastAsia="zh-CN"/>
              </w:rPr>
            </w:pPr>
            <w:r>
              <w:rPr>
                <w:rFonts w:hint="default"/>
                <w:lang w:val="en-US" w:eastAsia="zh-CN"/>
              </w:rPr>
              <w:t>限值</w:t>
            </w:r>
          </w:p>
        </w:tc>
      </w:tr>
      <w:tr w14:paraId="778A1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center"/>
          </w:tcPr>
          <w:p w14:paraId="4AFAFA95">
            <w:pPr>
              <w:pStyle w:val="24"/>
              <w:bidi w:val="0"/>
              <w:rPr>
                <w:rFonts w:hint="default"/>
                <w:lang w:val="en-US" w:eastAsia="zh-CN"/>
              </w:rPr>
            </w:pPr>
            <w:r>
              <w:rPr>
                <w:rFonts w:hint="default"/>
                <w:lang w:val="en-US" w:eastAsia="zh-CN"/>
              </w:rPr>
              <w:t>内照射指数1Ra</w:t>
            </w:r>
          </w:p>
        </w:tc>
        <w:tc>
          <w:tcPr>
            <w:tcW w:w="4261" w:type="dxa"/>
            <w:noWrap w:val="0"/>
            <w:vAlign w:val="center"/>
          </w:tcPr>
          <w:p w14:paraId="58DE80B2">
            <w:pPr>
              <w:pStyle w:val="24"/>
              <w:bidi w:val="0"/>
              <w:rPr>
                <w:rFonts w:hint="default"/>
                <w:lang w:val="en-US" w:eastAsia="zh-CN"/>
              </w:rPr>
            </w:pPr>
            <w:r>
              <w:rPr>
                <w:rFonts w:hint="default"/>
                <w:lang w:val="en-US" w:eastAsia="zh-CN"/>
              </w:rPr>
              <w:t>≤1.0</w:t>
            </w:r>
          </w:p>
        </w:tc>
      </w:tr>
      <w:tr w14:paraId="644D6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center"/>
          </w:tcPr>
          <w:p w14:paraId="17741DEE">
            <w:pPr>
              <w:pStyle w:val="24"/>
              <w:bidi w:val="0"/>
              <w:rPr>
                <w:rFonts w:hint="default"/>
                <w:lang w:val="en-US" w:eastAsia="zh-CN"/>
              </w:rPr>
            </w:pPr>
            <w:r>
              <w:rPr>
                <w:rFonts w:hint="default"/>
                <w:lang w:val="en-US" w:eastAsia="zh-CN"/>
              </w:rPr>
              <w:t>外射指数1r</w:t>
            </w:r>
          </w:p>
        </w:tc>
        <w:tc>
          <w:tcPr>
            <w:tcW w:w="4261" w:type="dxa"/>
            <w:noWrap w:val="0"/>
            <w:vAlign w:val="center"/>
          </w:tcPr>
          <w:p w14:paraId="1E380828">
            <w:pPr>
              <w:pStyle w:val="24"/>
              <w:bidi w:val="0"/>
              <w:rPr>
                <w:rFonts w:hint="default"/>
                <w:lang w:val="en-US" w:eastAsia="zh-CN"/>
              </w:rPr>
            </w:pPr>
            <w:r>
              <w:rPr>
                <w:rFonts w:hint="default"/>
                <w:lang w:val="en-US" w:eastAsia="zh-CN"/>
              </w:rPr>
              <w:t>≤1.0</w:t>
            </w:r>
          </w:p>
        </w:tc>
      </w:tr>
    </w:tbl>
    <w:p w14:paraId="02F6CC5B">
      <w:pPr>
        <w:bidi w:val="0"/>
        <w:rPr>
          <w:rFonts w:hint="default"/>
          <w:lang w:val="en-US" w:eastAsia="zh-CN"/>
        </w:rPr>
      </w:pPr>
      <w:r>
        <w:rPr>
          <w:rFonts w:hint="eastAsia"/>
          <w:lang w:val="en-US" w:eastAsia="zh-CN"/>
        </w:rPr>
        <w:t>工程使用的石材、建筑卫生陶瓷、石膏板、吊顶材料、无机瓷质砖粘接剂等无机非金属装修材料，其放射性指标限值应符合下表规定。</w:t>
      </w:r>
    </w:p>
    <w:p w14:paraId="103B5DB5">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rPr>
          <w:rFonts w:hint="eastAsia"/>
          <w:lang w:val="en-US" w:eastAsia="zh-CN"/>
        </w:rPr>
        <w:t>表6.2-2 无机非金属装饰材料放射性指标限值</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37F7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center"/>
          </w:tcPr>
          <w:p w14:paraId="2863CC46">
            <w:pPr>
              <w:pStyle w:val="24"/>
              <w:bidi w:val="0"/>
              <w:rPr>
                <w:rFonts w:hint="default"/>
                <w:lang w:val="en-US" w:eastAsia="zh-CN"/>
              </w:rPr>
            </w:pPr>
            <w:r>
              <w:rPr>
                <w:rFonts w:hint="default"/>
                <w:lang w:val="en-US" w:eastAsia="zh-CN"/>
              </w:rPr>
              <w:t>测定项目</w:t>
            </w:r>
          </w:p>
        </w:tc>
        <w:tc>
          <w:tcPr>
            <w:tcW w:w="4261" w:type="dxa"/>
            <w:noWrap w:val="0"/>
            <w:vAlign w:val="center"/>
          </w:tcPr>
          <w:p w14:paraId="778D954A">
            <w:pPr>
              <w:pStyle w:val="24"/>
              <w:bidi w:val="0"/>
              <w:rPr>
                <w:rFonts w:hint="default"/>
                <w:lang w:val="en-US" w:eastAsia="zh-CN"/>
              </w:rPr>
            </w:pPr>
            <w:r>
              <w:rPr>
                <w:rFonts w:hint="default"/>
                <w:lang w:val="en-US" w:eastAsia="zh-CN"/>
              </w:rPr>
              <w:t>限值</w:t>
            </w:r>
          </w:p>
        </w:tc>
      </w:tr>
      <w:tr w14:paraId="6EF36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center"/>
          </w:tcPr>
          <w:p w14:paraId="4F4BF2CD">
            <w:pPr>
              <w:pStyle w:val="24"/>
              <w:bidi w:val="0"/>
              <w:rPr>
                <w:rFonts w:hint="default"/>
                <w:lang w:val="en-US" w:eastAsia="zh-CN"/>
              </w:rPr>
            </w:pPr>
            <w:r>
              <w:rPr>
                <w:rFonts w:hint="default"/>
                <w:lang w:val="en-US" w:eastAsia="zh-CN"/>
              </w:rPr>
              <w:t>内照射指数1Ra</w:t>
            </w:r>
          </w:p>
        </w:tc>
        <w:tc>
          <w:tcPr>
            <w:tcW w:w="4261" w:type="dxa"/>
            <w:noWrap w:val="0"/>
            <w:vAlign w:val="center"/>
          </w:tcPr>
          <w:p w14:paraId="49B36345">
            <w:pPr>
              <w:pStyle w:val="24"/>
              <w:bidi w:val="0"/>
              <w:rPr>
                <w:rFonts w:hint="default"/>
                <w:lang w:val="en-US" w:eastAsia="zh-CN"/>
              </w:rPr>
            </w:pPr>
            <w:r>
              <w:rPr>
                <w:rFonts w:hint="default"/>
                <w:lang w:val="en-US" w:eastAsia="zh-CN"/>
              </w:rPr>
              <w:t>≤1.0</w:t>
            </w:r>
          </w:p>
        </w:tc>
      </w:tr>
      <w:tr w14:paraId="65CE6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center"/>
          </w:tcPr>
          <w:p w14:paraId="07E9F88C">
            <w:pPr>
              <w:pStyle w:val="24"/>
              <w:bidi w:val="0"/>
              <w:rPr>
                <w:rFonts w:hint="default"/>
                <w:lang w:val="en-US" w:eastAsia="zh-CN"/>
              </w:rPr>
            </w:pPr>
            <w:r>
              <w:rPr>
                <w:rFonts w:hint="default"/>
                <w:lang w:val="en-US" w:eastAsia="zh-CN"/>
              </w:rPr>
              <w:t>外射指数1r</w:t>
            </w:r>
          </w:p>
        </w:tc>
        <w:tc>
          <w:tcPr>
            <w:tcW w:w="4261" w:type="dxa"/>
            <w:noWrap w:val="0"/>
            <w:vAlign w:val="center"/>
          </w:tcPr>
          <w:p w14:paraId="27ACEDC8">
            <w:pPr>
              <w:pStyle w:val="24"/>
              <w:bidi w:val="0"/>
              <w:rPr>
                <w:rFonts w:hint="default"/>
                <w:lang w:val="en-US" w:eastAsia="zh-CN"/>
              </w:rPr>
            </w:pPr>
            <w:r>
              <w:rPr>
                <w:rFonts w:hint="default"/>
                <w:lang w:val="en-US" w:eastAsia="zh-CN"/>
              </w:rPr>
              <w:t>≤1.</w:t>
            </w:r>
            <w:r>
              <w:rPr>
                <w:rFonts w:hint="eastAsia"/>
                <w:lang w:val="en-US" w:eastAsia="zh-CN"/>
              </w:rPr>
              <w:t>3</w:t>
            </w:r>
          </w:p>
        </w:tc>
      </w:tr>
    </w:tbl>
    <w:p w14:paraId="6D362D7C">
      <w:pPr>
        <w:pStyle w:val="5"/>
        <w:bidi w:val="0"/>
      </w:pPr>
      <w:r>
        <w:rPr>
          <w:rFonts w:hint="eastAsia"/>
          <w:lang w:val="en-US" w:eastAsia="zh-CN"/>
        </w:rPr>
        <w:t xml:space="preserve">6.2.2.7 施工期卫生 </w:t>
      </w:r>
    </w:p>
    <w:p w14:paraId="7DD4A7EA">
      <w:pPr>
        <w:bidi w:val="0"/>
        <w:rPr>
          <w:rFonts w:hint="eastAsia"/>
          <w:lang w:val="en-US" w:eastAsia="zh-CN"/>
        </w:rPr>
      </w:pPr>
      <w:r>
        <w:rPr>
          <w:rFonts w:hint="eastAsia"/>
          <w:lang w:val="en-US" w:eastAsia="zh-CN"/>
        </w:rPr>
        <w:t>工程施工期间，需做好机械噪声、车辆噪声、粉尘、污水等的污染，严格按环境保护设计进行，同时与有关环境监测部门联动，加强工地现场监测。特别是对施工临设场地的生活污水应进行集中处理，防止污染环境。</w:t>
      </w:r>
    </w:p>
    <w:p w14:paraId="58048512">
      <w:pPr>
        <w:pStyle w:val="5"/>
        <w:bidi w:val="0"/>
        <w:rPr>
          <w:rFonts w:hint="eastAsia"/>
          <w:lang w:val="en-US" w:eastAsia="zh-CN"/>
        </w:rPr>
      </w:pPr>
      <w:r>
        <w:rPr>
          <w:rFonts w:hint="eastAsia"/>
          <w:lang w:val="en-US" w:eastAsia="zh-CN"/>
        </w:rPr>
        <w:t xml:space="preserve">6.2.2.8 安全标志 </w:t>
      </w:r>
    </w:p>
    <w:p w14:paraId="4255AA5C">
      <w:pPr>
        <w:bidi w:val="0"/>
        <w:rPr>
          <w:rFonts w:hint="eastAsia"/>
          <w:lang w:val="en-US" w:eastAsia="zh-CN"/>
        </w:rPr>
      </w:pPr>
      <w:r>
        <w:rPr>
          <w:rFonts w:hint="eastAsia"/>
          <w:lang w:val="en-US" w:eastAsia="zh-CN"/>
        </w:rPr>
        <w:t xml:space="preserve">根据工程的具体情况，以防患于未然和事故后便于快速疏散为目的，对容易导致安全事故的场所或发生事故后做好疏散的通道等部位设立安全标志。 </w:t>
      </w:r>
    </w:p>
    <w:p w14:paraId="44502D8D">
      <w:pPr>
        <w:pStyle w:val="5"/>
        <w:bidi w:val="0"/>
        <w:rPr>
          <w:rFonts w:hint="eastAsia"/>
          <w:lang w:val="en-US" w:eastAsia="zh-CN"/>
        </w:rPr>
      </w:pPr>
      <w:r>
        <w:rPr>
          <w:rFonts w:hint="eastAsia"/>
          <w:lang w:val="en-US" w:eastAsia="zh-CN"/>
        </w:rPr>
        <w:t xml:space="preserve">6.2.2.9 应急措施 </w:t>
      </w:r>
    </w:p>
    <w:p w14:paraId="18087EDF">
      <w:pPr>
        <w:bidi w:val="0"/>
        <w:rPr>
          <w:rFonts w:hint="eastAsia"/>
          <w:lang w:val="en-US" w:eastAsia="zh-CN"/>
        </w:rPr>
      </w:pPr>
      <w:r>
        <w:rPr>
          <w:rFonts w:hint="eastAsia"/>
          <w:lang w:val="en-US" w:eastAsia="zh-CN"/>
        </w:rPr>
        <w:t xml:space="preserve">在发生意外情况下，根据意外事故的种类采取如下措施： </w:t>
      </w:r>
    </w:p>
    <w:p w14:paraId="4B5E434B">
      <w:pPr>
        <w:bidi w:val="0"/>
        <w:rPr>
          <w:rFonts w:hint="eastAsia"/>
          <w:lang w:val="en-US" w:eastAsia="zh-CN"/>
        </w:rPr>
      </w:pPr>
      <w:r>
        <w:rPr>
          <w:rFonts w:hint="eastAsia"/>
          <w:lang w:val="en-US" w:eastAsia="zh-CN"/>
        </w:rPr>
        <w:t xml:space="preserve">（1）本工程需要考虑事故疏散的场所，如箱涵、桥梁等需设置进出临时通道。 </w:t>
      </w:r>
    </w:p>
    <w:p w14:paraId="66B75DC9">
      <w:pPr>
        <w:bidi w:val="0"/>
        <w:rPr>
          <w:rFonts w:hint="eastAsia"/>
          <w:lang w:val="en-US" w:eastAsia="zh-CN"/>
        </w:rPr>
      </w:pPr>
      <w:r>
        <w:rPr>
          <w:rFonts w:hint="eastAsia"/>
          <w:lang w:val="en-US" w:eastAsia="zh-CN"/>
        </w:rPr>
        <w:t xml:space="preserve">（2）人身事故 </w:t>
      </w:r>
    </w:p>
    <w:p w14:paraId="5F78D800">
      <w:pPr>
        <w:bidi w:val="0"/>
        <w:rPr>
          <w:rFonts w:hint="eastAsia"/>
          <w:lang w:val="en-US" w:eastAsia="zh-CN"/>
        </w:rPr>
      </w:pPr>
      <w:r>
        <w:rPr>
          <w:rFonts w:hint="eastAsia"/>
          <w:lang w:val="en-US" w:eastAsia="zh-CN"/>
        </w:rPr>
        <w:t xml:space="preserve">为最大限度地减少人身伤亡事故，所有运行值班人员均需进行急救培训。对人身事故的抢救采用如下措施： </w:t>
      </w:r>
    </w:p>
    <w:p w14:paraId="6009C900">
      <w:pPr>
        <w:bidi w:val="0"/>
        <w:rPr>
          <w:rFonts w:hint="eastAsia"/>
          <w:lang w:val="en-US" w:eastAsia="zh-CN"/>
        </w:rPr>
      </w:pPr>
      <w:r>
        <w:rPr>
          <w:rFonts w:hint="eastAsia"/>
          <w:lang w:val="en-US" w:eastAsia="zh-CN"/>
        </w:rPr>
        <w:t xml:space="preserve">1）在各工区配备一些急救用具及药物。 </w:t>
      </w:r>
    </w:p>
    <w:p w14:paraId="47D0A15E">
      <w:pPr>
        <w:bidi w:val="0"/>
        <w:rPr>
          <w:rFonts w:hint="eastAsia"/>
          <w:lang w:val="en-US" w:eastAsia="zh-CN"/>
        </w:rPr>
      </w:pPr>
      <w:r>
        <w:rPr>
          <w:rFonts w:hint="eastAsia"/>
          <w:lang w:val="en-US" w:eastAsia="zh-CN"/>
        </w:rPr>
        <w:t xml:space="preserve">2）配备交通工具，必要时送往较近的医疗单位或其他医疗条件较好的县、市医疗单位急救。 </w:t>
      </w:r>
    </w:p>
    <w:p w14:paraId="3E167CC3">
      <w:pPr>
        <w:pStyle w:val="5"/>
        <w:bidi w:val="0"/>
        <w:rPr>
          <w:rFonts w:hint="eastAsia"/>
          <w:lang w:val="en-US" w:eastAsia="zh-CN"/>
        </w:rPr>
      </w:pPr>
      <w:r>
        <w:rPr>
          <w:rFonts w:hint="eastAsia"/>
          <w:lang w:val="en-US" w:eastAsia="zh-CN"/>
        </w:rPr>
        <w:t xml:space="preserve">6.2.2.10 防护设施及用品 </w:t>
      </w:r>
    </w:p>
    <w:p w14:paraId="1A1F631A">
      <w:pPr>
        <w:bidi w:val="0"/>
        <w:rPr>
          <w:rFonts w:hint="eastAsia"/>
          <w:lang w:val="en-US" w:eastAsia="zh-CN"/>
        </w:rPr>
      </w:pPr>
      <w:r>
        <w:rPr>
          <w:rFonts w:hint="eastAsia"/>
          <w:lang w:val="en-US" w:eastAsia="zh-CN"/>
        </w:rPr>
        <w:t xml:space="preserve">产生职业病危害的工作场所应设置相应的满足要求的职业病防护设施，为从业人员提供适用的职业病防护用品，并指导和监督从业人员正确佩戴和使用。各种防护用品、器具定点存放在安全、便于取用的地方，建立台账，指定专人负责保管防护器具，并定期校验和维护，确保其处于正常状态。 </w:t>
      </w:r>
    </w:p>
    <w:p w14:paraId="7E392A70">
      <w:pPr>
        <w:pStyle w:val="5"/>
        <w:bidi w:val="0"/>
        <w:rPr>
          <w:rFonts w:hint="eastAsia"/>
          <w:lang w:val="en-US" w:eastAsia="zh-CN"/>
        </w:rPr>
      </w:pPr>
      <w:r>
        <w:rPr>
          <w:rFonts w:hint="eastAsia"/>
          <w:lang w:val="en-US" w:eastAsia="zh-CN"/>
        </w:rPr>
        <w:t xml:space="preserve">6.2.2.11 工程运行安全管理 </w:t>
      </w:r>
    </w:p>
    <w:p w14:paraId="2B639704">
      <w:pPr>
        <w:bidi w:val="0"/>
        <w:rPr>
          <w:rFonts w:hint="eastAsia"/>
          <w:lang w:val="en-US" w:eastAsia="zh-CN"/>
        </w:rPr>
      </w:pPr>
      <w:r>
        <w:rPr>
          <w:rFonts w:hint="eastAsia"/>
          <w:lang w:val="en-US" w:eastAsia="zh-CN"/>
        </w:rPr>
        <w:t>在工程项目投产后，设置安全卫生管理机构负责劳动安全与工业卫生方面的宣传教育和管理工作，保证工程运行中劳动安全与工业卫生。因此从“安全生产、安全第一”的角度出发，设置安全教育，职业卫生，职工的正常体检等，结合生活区设置医务室。管理机构人员的配置为1～2人，可以为兼职人员。安全管理人员除加强日常的巡视检查外，还负责对各指示标牌、设备的维护，对违反安全生产规定的，提出整改意见和处罚措施。</w:t>
      </w:r>
    </w:p>
    <w:p w14:paraId="602F68F4">
      <w:pPr>
        <w:bidi w:val="0"/>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14:paraId="058984C9">
      <w:pPr>
        <w:pStyle w:val="2"/>
        <w:bidi w:val="0"/>
      </w:pPr>
      <w:bookmarkStart w:id="158" w:name="_Toc30509"/>
      <w:bookmarkStart w:id="159" w:name="_Toc11793"/>
      <w:r>
        <w:rPr>
          <w:lang w:val="en-US" w:eastAsia="zh-CN"/>
        </w:rPr>
        <w:t>第</w:t>
      </w:r>
      <w:r>
        <w:rPr>
          <w:rFonts w:hint="eastAsia"/>
          <w:lang w:val="en-US" w:eastAsia="zh-CN"/>
        </w:rPr>
        <w:t>七</w:t>
      </w:r>
      <w:r>
        <w:rPr>
          <w:lang w:val="en-US" w:eastAsia="zh-CN"/>
        </w:rPr>
        <w:t xml:space="preserve">章 </w:t>
      </w:r>
      <w:r>
        <w:rPr>
          <w:rFonts w:hint="eastAsia"/>
          <w:lang w:val="en-US" w:eastAsia="zh-CN"/>
        </w:rPr>
        <w:t xml:space="preserve"> </w:t>
      </w:r>
      <w:r>
        <w:rPr>
          <w:lang w:val="en-US" w:eastAsia="zh-CN"/>
        </w:rPr>
        <w:t>投资概算与资金筹措</w:t>
      </w:r>
      <w:bookmarkEnd w:id="158"/>
      <w:bookmarkEnd w:id="159"/>
    </w:p>
    <w:p w14:paraId="5BB49404">
      <w:pPr>
        <w:pStyle w:val="3"/>
        <w:bidi w:val="0"/>
        <w:rPr>
          <w:rFonts w:hint="default" w:eastAsia="黑体"/>
          <w:lang w:val="en-US" w:eastAsia="zh-CN"/>
        </w:rPr>
      </w:pPr>
      <w:bookmarkStart w:id="160" w:name="_Toc29988"/>
      <w:bookmarkStart w:id="161" w:name="_Toc18876"/>
      <w:bookmarkStart w:id="162" w:name="_Toc424"/>
      <w:bookmarkStart w:id="163" w:name="_Toc15897"/>
      <w:bookmarkStart w:id="164" w:name="_Toc1693"/>
      <w:bookmarkStart w:id="165" w:name="_Toc952"/>
      <w:r>
        <w:rPr>
          <w:rFonts w:hint="eastAsia"/>
          <w:lang w:val="en-US" w:eastAsia="zh-CN"/>
        </w:rPr>
        <w:t xml:space="preserve">7.1 </w:t>
      </w:r>
      <w:bookmarkEnd w:id="160"/>
      <w:bookmarkEnd w:id="161"/>
      <w:bookmarkEnd w:id="162"/>
      <w:bookmarkEnd w:id="163"/>
      <w:bookmarkEnd w:id="164"/>
      <w:r>
        <w:rPr>
          <w:rFonts w:hint="eastAsia"/>
          <w:lang w:val="en-US" w:eastAsia="zh-CN"/>
        </w:rPr>
        <w:t>编制依据和编制说明</w:t>
      </w:r>
      <w:bookmarkEnd w:id="165"/>
    </w:p>
    <w:p w14:paraId="53AF848F">
      <w:pPr>
        <w:pStyle w:val="4"/>
        <w:bidi w:val="0"/>
        <w:rPr>
          <w:rFonts w:hint="default"/>
        </w:rPr>
      </w:pPr>
      <w:bookmarkStart w:id="166" w:name="_Toc13382"/>
      <w:r>
        <w:rPr>
          <w:rFonts w:hint="eastAsia"/>
          <w:lang w:val="en-US" w:eastAsia="zh-CN"/>
        </w:rPr>
        <w:t xml:space="preserve">7.1.1 </w:t>
      </w:r>
      <w:r>
        <w:rPr>
          <w:rFonts w:hint="default"/>
        </w:rPr>
        <w:t>编制依据</w:t>
      </w:r>
      <w:bookmarkEnd w:id="166"/>
    </w:p>
    <w:p w14:paraId="5780C197">
      <w:pPr>
        <w:bidi w:val="0"/>
      </w:pPr>
      <w:r>
        <w:rPr>
          <w:rFonts w:hint="eastAsia"/>
          <w:lang w:eastAsia="zh-CN"/>
        </w:rPr>
        <w:t>（</w:t>
      </w:r>
      <w:r>
        <w:t>1）《高标准农田建设项目预算定额》（DB36／T</w:t>
      </w:r>
      <w:r>
        <w:rPr>
          <w:rFonts w:hint="eastAsia"/>
        </w:rPr>
        <w:t> 2180）</w:t>
      </w:r>
      <w:r>
        <w:rPr>
          <w:rFonts w:hint="eastAsia"/>
          <w:lang w:val="en-US" w:eastAsia="zh-CN"/>
        </w:rPr>
        <w:t>2026年6月1日起实施</w:t>
      </w:r>
      <w:r>
        <w:t>；</w:t>
      </w:r>
    </w:p>
    <w:p w14:paraId="6B937B3F">
      <w:pPr>
        <w:bidi w:val="0"/>
      </w:pPr>
      <w:r>
        <w:rPr>
          <w:rFonts w:hint="eastAsia"/>
          <w:lang w:eastAsia="zh-CN"/>
        </w:rPr>
        <w:t>（</w:t>
      </w:r>
      <w:r>
        <w:t>2）《江西省高标准农田建设资金管理办法》（赣财农〔2022〕10号）</w:t>
      </w:r>
      <w:r>
        <w:rPr>
          <w:rFonts w:hint="eastAsia"/>
        </w:rPr>
        <w:t>；</w:t>
      </w:r>
    </w:p>
    <w:p w14:paraId="57DF1866">
      <w:pPr>
        <w:bidi w:val="0"/>
      </w:pPr>
      <w:r>
        <w:rPr>
          <w:rFonts w:hint="eastAsia"/>
          <w:lang w:eastAsia="zh-CN"/>
        </w:rPr>
        <w:t>（</w:t>
      </w:r>
      <w:r>
        <w:rPr>
          <w:rFonts w:hint="eastAsia"/>
        </w:rPr>
        <w:t>3</w:t>
      </w:r>
      <w:r>
        <w:t>）《</w:t>
      </w:r>
      <w:r>
        <w:rPr>
          <w:rFonts w:hint="eastAsia"/>
        </w:rPr>
        <w:t>江西省水利厅关于重新调整我省水利工程计价依据及计价系数的通知</w:t>
      </w:r>
      <w:r>
        <w:t>》（赣水建管字</w:t>
      </w:r>
      <w:r>
        <w:rPr>
          <w:rFonts w:hint="eastAsia"/>
          <w:lang w:eastAsia="zh-CN"/>
        </w:rPr>
        <w:t>〔2019〕27号</w:t>
      </w:r>
      <w:r>
        <w:t>）；</w:t>
      </w:r>
    </w:p>
    <w:p w14:paraId="3CA90385">
      <w:pPr>
        <w:bidi w:val="0"/>
      </w:pPr>
      <w:r>
        <w:rPr>
          <w:rFonts w:hint="eastAsia"/>
          <w:lang w:eastAsia="zh-CN"/>
        </w:rPr>
        <w:t>（</w:t>
      </w:r>
      <w:r>
        <w:rPr>
          <w:rFonts w:hint="eastAsia"/>
        </w:rPr>
        <w:t>4</w:t>
      </w:r>
      <w:r>
        <w:t>）</w:t>
      </w:r>
      <w:r>
        <w:rPr>
          <w:rFonts w:hint="eastAsia"/>
        </w:rPr>
        <w:t>《江西省水利厅关于调整江西省水利工程计价依据人工</w:t>
      </w:r>
      <w:r>
        <w:rPr>
          <w:rFonts w:hint="eastAsia"/>
          <w:lang w:eastAsia="zh-CN"/>
        </w:rPr>
        <w:t>概算</w:t>
      </w:r>
      <w:r>
        <w:rPr>
          <w:rFonts w:hint="eastAsia"/>
        </w:rPr>
        <w:t>单价及有关费率的通知》（赣水建管字</w:t>
      </w:r>
      <w:r>
        <w:rPr>
          <w:rFonts w:hint="eastAsia"/>
          <w:lang w:eastAsia="zh-CN"/>
        </w:rPr>
        <w:t>〔2019〕97号</w:t>
      </w:r>
      <w:r>
        <w:rPr>
          <w:rFonts w:hint="eastAsia"/>
        </w:rPr>
        <w:t>）；</w:t>
      </w:r>
    </w:p>
    <w:p w14:paraId="1BDFB0FD">
      <w:pPr>
        <w:bidi w:val="0"/>
      </w:pPr>
      <w:r>
        <w:rPr>
          <w:rFonts w:hint="eastAsia"/>
          <w:lang w:eastAsia="zh-CN"/>
        </w:rPr>
        <w:t>（</w:t>
      </w:r>
      <w:r>
        <w:rPr>
          <w:rFonts w:hint="eastAsia"/>
        </w:rPr>
        <w:t>5</w:t>
      </w:r>
      <w:r>
        <w:t>）</w:t>
      </w:r>
      <w:r>
        <w:rPr>
          <w:rFonts w:hint="eastAsia"/>
        </w:rPr>
        <w:t>《耕地建设与利用资金管理办法》（财农〔2023〕12号）</w:t>
      </w:r>
    </w:p>
    <w:p w14:paraId="6910CD1E">
      <w:pPr>
        <w:bidi w:val="0"/>
      </w:pPr>
      <w:r>
        <w:rPr>
          <w:rFonts w:hint="eastAsia"/>
          <w:lang w:eastAsia="zh-CN"/>
        </w:rPr>
        <w:t>（</w:t>
      </w:r>
      <w:r>
        <w:rPr>
          <w:rFonts w:hint="eastAsia"/>
        </w:rPr>
        <w:t>6</w:t>
      </w:r>
      <w:r>
        <w:t>）《</w:t>
      </w:r>
      <w:r>
        <w:rPr>
          <w:rFonts w:hint="eastAsia"/>
        </w:rPr>
        <w:t>江西省水利厅关于发布</w:t>
      </w:r>
      <w:r>
        <w:rPr>
          <w:rFonts w:hint="eastAsia"/>
          <w:lang w:val="en-US" w:eastAsia="zh-CN"/>
        </w:rPr>
        <w:t>&lt;</w:t>
      </w:r>
      <w:r>
        <w:rPr>
          <w:rFonts w:hint="eastAsia"/>
        </w:rPr>
        <w:t>江西省水利水电工程设计概（估）算编制规定</w:t>
      </w:r>
      <w:r>
        <w:rPr>
          <w:rFonts w:hint="eastAsia"/>
          <w:lang w:val="en-US" w:eastAsia="zh-CN"/>
        </w:rPr>
        <w:t>&gt;</w:t>
      </w:r>
      <w:r>
        <w:rPr>
          <w:rFonts w:hint="eastAsia"/>
        </w:rPr>
        <w:t>及相应配套系列定额和调整江西省水利水电工程人工</w:t>
      </w:r>
      <w:r>
        <w:rPr>
          <w:rFonts w:hint="eastAsia"/>
          <w:lang w:eastAsia="zh-CN"/>
        </w:rPr>
        <w:t>概算</w:t>
      </w:r>
      <w:r>
        <w:rPr>
          <w:rFonts w:hint="eastAsia"/>
        </w:rPr>
        <w:t>单价的通知（</w:t>
      </w:r>
      <w:r>
        <w:t>赣水</w:t>
      </w:r>
      <w:r>
        <w:rPr>
          <w:rFonts w:hint="eastAsia"/>
        </w:rPr>
        <w:t>规范文</w:t>
      </w:r>
      <w:r>
        <w:rPr>
          <w:rFonts w:hint="eastAsia"/>
          <w:lang w:eastAsia="zh-CN"/>
        </w:rPr>
        <w:t>〔2022〕2号</w:t>
      </w:r>
      <w:r>
        <w:t>）</w:t>
      </w:r>
      <w:r>
        <w:rPr>
          <w:rFonts w:hint="eastAsia"/>
        </w:rPr>
        <w:t>；</w:t>
      </w:r>
    </w:p>
    <w:p w14:paraId="4CB99E4D">
      <w:pPr>
        <w:bidi w:val="0"/>
      </w:pPr>
      <w:r>
        <w:rPr>
          <w:rFonts w:hint="eastAsia"/>
          <w:lang w:eastAsia="zh-CN"/>
        </w:rPr>
        <w:t>（</w:t>
      </w:r>
      <w:r>
        <w:rPr>
          <w:rFonts w:hint="eastAsia"/>
        </w:rPr>
        <w:t>7</w:t>
      </w:r>
      <w:r>
        <w:t>）《江西省中央农田建设补助资金管理办法实施细则》（赣财农</w:t>
      </w:r>
      <w:r>
        <w:rPr>
          <w:rFonts w:hint="eastAsia"/>
          <w:lang w:eastAsia="zh-CN"/>
        </w:rPr>
        <w:t>〔2019〕31号</w:t>
      </w:r>
      <w:r>
        <w:t>）</w:t>
      </w:r>
      <w:r>
        <w:rPr>
          <w:rFonts w:hint="eastAsia"/>
        </w:rPr>
        <w:t>；</w:t>
      </w:r>
    </w:p>
    <w:p w14:paraId="3735E03B">
      <w:pPr>
        <w:bidi w:val="0"/>
      </w:pPr>
      <w:r>
        <w:rPr>
          <w:rFonts w:hint="eastAsia"/>
          <w:lang w:eastAsia="zh-CN"/>
        </w:rPr>
        <w:t>（</w:t>
      </w:r>
      <w:r>
        <w:rPr>
          <w:rFonts w:hint="eastAsia"/>
        </w:rPr>
        <w:t>8</w:t>
      </w:r>
      <w:r>
        <w:t>）</w:t>
      </w:r>
      <w:r>
        <w:rPr>
          <w:rFonts w:hint="eastAsia"/>
        </w:rPr>
        <w:t xml:space="preserve"> </w:t>
      </w:r>
      <w:r>
        <w:t>《高标准农田建设质量管理办法（试行）》（农建发</w:t>
      </w:r>
      <w:r>
        <w:rPr>
          <w:rFonts w:hint="eastAsia"/>
          <w:lang w:eastAsia="zh-CN"/>
        </w:rPr>
        <w:t>〔2021〕1号</w:t>
      </w:r>
      <w:r>
        <w:t>）；</w:t>
      </w:r>
    </w:p>
    <w:p w14:paraId="0B74F5E3">
      <w:pPr>
        <w:keepNext w:val="0"/>
        <w:keepLines w:val="0"/>
        <w:pageBreakBefore w:val="0"/>
        <w:widowControl w:val="0"/>
        <w:kinsoku/>
        <w:wordWrap/>
        <w:overflowPunct/>
        <w:topLinePunct w:val="0"/>
        <w:autoSpaceDE/>
        <w:autoSpaceDN/>
        <w:bidi w:val="0"/>
        <w:adjustRightInd/>
        <w:snapToGrid/>
        <w:textAlignment w:val="auto"/>
        <w:rPr>
          <w:rFonts w:hint="eastAsia" w:eastAsia="宋体"/>
          <w:lang w:eastAsia="zh-CN"/>
        </w:rPr>
      </w:pPr>
      <w:r>
        <w:rPr>
          <w:rFonts w:hint="eastAsia"/>
          <w:lang w:eastAsia="zh-CN"/>
        </w:rPr>
        <w:t>（</w:t>
      </w:r>
      <w:r>
        <w:rPr>
          <w:rFonts w:hint="eastAsia"/>
        </w:rPr>
        <w:t>9</w:t>
      </w:r>
      <w:r>
        <w:t>）关于印发《江西省统筹整合资金推进高标准农田建设项目管理办法（修订）》</w:t>
      </w:r>
      <w:r>
        <w:rPr>
          <w:rFonts w:hint="eastAsia"/>
          <w:lang w:eastAsia="zh-CN"/>
        </w:rPr>
        <w:t>；</w:t>
      </w:r>
    </w:p>
    <w:p w14:paraId="1DAAAC41">
      <w:pPr>
        <w:keepNext w:val="0"/>
        <w:keepLines w:val="0"/>
        <w:pageBreakBefore w:val="0"/>
        <w:widowControl w:val="0"/>
        <w:kinsoku/>
        <w:wordWrap/>
        <w:overflowPunct/>
        <w:topLinePunct w:val="0"/>
        <w:autoSpaceDE/>
        <w:autoSpaceDN/>
        <w:bidi w:val="0"/>
        <w:adjustRightInd/>
        <w:snapToGrid/>
        <w:textAlignment w:val="auto"/>
        <w:rPr>
          <w:rFonts w:hint="eastAsia"/>
          <w:lang w:eastAsia="zh-CN"/>
        </w:rPr>
      </w:pPr>
      <w:r>
        <w:rPr>
          <w:rFonts w:hint="eastAsia"/>
          <w:lang w:val="en-US" w:eastAsia="zh-CN"/>
        </w:rPr>
        <w:t>（10）</w:t>
      </w:r>
      <w:r>
        <w:t>《江西省高标准农田建设规范（修订）》（赣高标准农田组字</w:t>
      </w:r>
      <w:r>
        <w:rPr>
          <w:rFonts w:hint="eastAsia"/>
          <w:lang w:eastAsia="zh-CN"/>
        </w:rPr>
        <w:t>〔2021〕3号</w:t>
      </w:r>
      <w:r>
        <w:t>）</w:t>
      </w:r>
      <w:r>
        <w:rPr>
          <w:rFonts w:hint="eastAsia"/>
          <w:lang w:eastAsia="zh-CN"/>
        </w:rPr>
        <w:t>。</w:t>
      </w:r>
    </w:p>
    <w:p w14:paraId="6039EC23">
      <w:pPr>
        <w:pStyle w:val="4"/>
        <w:bidi w:val="0"/>
        <w:rPr>
          <w:rFonts w:hint="eastAsia"/>
          <w:lang w:eastAsia="zh-CN"/>
        </w:rPr>
      </w:pPr>
      <w:bookmarkStart w:id="167" w:name="_Toc1906"/>
      <w:bookmarkStart w:id="168" w:name="_Toc12149"/>
      <w:bookmarkStart w:id="169" w:name="_Toc16058"/>
      <w:bookmarkStart w:id="170" w:name="_Toc1563"/>
      <w:bookmarkStart w:id="171" w:name="_Toc14445"/>
      <w:r>
        <w:rPr>
          <w:rFonts w:hint="eastAsia"/>
          <w:lang w:val="en-US" w:eastAsia="zh-CN"/>
        </w:rPr>
        <w:t xml:space="preserve">7.1.2 </w:t>
      </w:r>
      <w:r>
        <w:rPr>
          <w:rFonts w:hint="eastAsia"/>
        </w:rPr>
        <w:t>编制</w:t>
      </w:r>
      <w:bookmarkEnd w:id="167"/>
      <w:bookmarkEnd w:id="168"/>
      <w:bookmarkEnd w:id="169"/>
      <w:bookmarkEnd w:id="170"/>
      <w:bookmarkEnd w:id="171"/>
      <w:r>
        <w:rPr>
          <w:rFonts w:hint="eastAsia"/>
          <w:lang w:val="en-US" w:eastAsia="zh-CN"/>
        </w:rPr>
        <w:t>说明</w:t>
      </w:r>
    </w:p>
    <w:p w14:paraId="5D36459A">
      <w:pPr>
        <w:bidi w:val="0"/>
      </w:pPr>
      <w:bookmarkStart w:id="172" w:name="_Toc20016"/>
      <w:bookmarkStart w:id="173" w:name="_Toc19559"/>
      <w:bookmarkStart w:id="174" w:name="_Toc17467"/>
      <w:bookmarkStart w:id="175" w:name="_Toc29388"/>
      <w:bookmarkStart w:id="176" w:name="_Toc19009"/>
      <w:bookmarkStart w:id="177" w:name="_Toc30599"/>
      <w:r>
        <w:t>主</w:t>
      </w:r>
      <w:r>
        <w:rPr>
          <w:rFonts w:hint="eastAsia"/>
        </w:rPr>
        <w:t>、</w:t>
      </w:r>
      <w:r>
        <w:t>次要材料，施工用电、水、风、砂石料等基础单价的计算依据按20</w:t>
      </w:r>
      <w:r>
        <w:rPr>
          <w:rFonts w:hint="eastAsia"/>
        </w:rPr>
        <w:t>2</w:t>
      </w:r>
      <w:r>
        <w:rPr>
          <w:rFonts w:hint="eastAsia"/>
          <w:lang w:val="en-US" w:eastAsia="zh-CN"/>
        </w:rPr>
        <w:t>6</w:t>
      </w:r>
      <w:r>
        <w:t>年</w:t>
      </w:r>
      <w:r>
        <w:rPr>
          <w:rFonts w:hint="eastAsia"/>
          <w:lang w:val="en-US" w:eastAsia="zh-CN"/>
        </w:rPr>
        <w:t>第6期</w:t>
      </w:r>
      <w:r>
        <w:rPr>
          <w:rFonts w:hint="eastAsia"/>
        </w:rPr>
        <w:t>江西省、</w:t>
      </w:r>
      <w:r>
        <w:rPr>
          <w:rFonts w:hint="eastAsia"/>
          <w:lang w:val="en-US" w:eastAsia="zh-CN"/>
        </w:rPr>
        <w:t>景德镇市</w:t>
      </w:r>
      <w:r>
        <w:t>《江西省造价信息》建筑材料价格</w:t>
      </w:r>
      <w:r>
        <w:rPr>
          <w:rFonts w:hint="eastAsia"/>
        </w:rPr>
        <w:t>并且</w:t>
      </w:r>
      <w:r>
        <w:t>参考当地民用建筑材料市场价格。</w:t>
      </w:r>
    </w:p>
    <w:p w14:paraId="13DD6A27">
      <w:pPr>
        <w:bidi w:val="0"/>
      </w:pPr>
      <w:r>
        <w:t>主要材料基价按《高标准农田建设项目预算定额》（DB36／T</w:t>
      </w:r>
      <w:r>
        <w:rPr>
          <w:rFonts w:hint="eastAsia"/>
        </w:rPr>
        <w:t> 2180</w:t>
      </w:r>
      <w:r>
        <w:rPr>
          <w:rFonts w:hint="eastAsia"/>
          <w:lang w:val="en-US" w:eastAsia="zh-CN"/>
        </w:rPr>
        <w:t>.2-2025</w:t>
      </w:r>
      <w:r>
        <w:rPr>
          <w:rFonts w:hint="eastAsia"/>
        </w:rPr>
        <w:t>）</w:t>
      </w:r>
      <w:r>
        <w:t>执行。</w:t>
      </w:r>
    </w:p>
    <w:p w14:paraId="2FAB8B91">
      <w:pPr>
        <w:bidi w:val="0"/>
      </w:pPr>
      <w:r>
        <w:t>主要材料基价：水泥</w:t>
      </w:r>
      <w:r>
        <w:rPr>
          <w:rFonts w:hint="eastAsia"/>
          <w:lang w:val="en-US" w:eastAsia="zh-CN"/>
        </w:rPr>
        <w:t>420</w:t>
      </w:r>
      <w:r>
        <w:t>元/t；钢筋</w:t>
      </w:r>
      <w:r>
        <w:rPr>
          <w:rFonts w:hint="eastAsia"/>
          <w:lang w:val="en-US" w:eastAsia="zh-CN"/>
        </w:rPr>
        <w:t>3312</w:t>
      </w:r>
      <w:r>
        <w:t>元/t；</w:t>
      </w:r>
      <w:r>
        <w:rPr>
          <w:rFonts w:hint="eastAsia"/>
          <w:lang w:val="en-US" w:eastAsia="zh-CN"/>
        </w:rPr>
        <w:t>外购砂石料313</w:t>
      </w:r>
      <w:r>
        <w:t>元/m³</w:t>
      </w:r>
      <w:r>
        <w:rPr>
          <w:rFonts w:hint="eastAsia"/>
          <w:lang w:eastAsia="zh-CN"/>
        </w:rPr>
        <w:t>；</w:t>
      </w:r>
      <w:r>
        <w:t>柴油</w:t>
      </w:r>
      <w:r>
        <w:rPr>
          <w:rFonts w:hint="eastAsia"/>
          <w:lang w:val="en-US" w:eastAsia="zh-CN"/>
        </w:rPr>
        <w:t>8.49</w:t>
      </w:r>
      <w:r>
        <w:t>元/</w:t>
      </w:r>
      <w:r>
        <w:rPr>
          <w:rFonts w:hint="eastAsia"/>
          <w:lang w:val="en-US" w:eastAsia="zh-CN"/>
        </w:rPr>
        <w:t>kg</w:t>
      </w:r>
      <w:r>
        <w:t>。</w:t>
      </w:r>
      <w:bookmarkEnd w:id="172"/>
      <w:bookmarkEnd w:id="173"/>
      <w:bookmarkEnd w:id="174"/>
      <w:bookmarkEnd w:id="175"/>
      <w:bookmarkEnd w:id="176"/>
      <w:bookmarkEnd w:id="177"/>
    </w:p>
    <w:p w14:paraId="30DD7B8D">
      <w:pPr>
        <w:bidi w:val="0"/>
      </w:pPr>
      <w:r>
        <w:t>根据《高标准农田建设项目预算定额》（DB36／T</w:t>
      </w:r>
      <w:r>
        <w:rPr>
          <w:rFonts w:hint="eastAsia"/>
        </w:rPr>
        <w:t> 2180</w:t>
      </w:r>
      <w:r>
        <w:rPr>
          <w:rFonts w:hint="eastAsia"/>
          <w:lang w:eastAsia="zh-CN"/>
        </w:rPr>
        <w:t>）</w:t>
      </w:r>
      <w:r>
        <w:t>（20</w:t>
      </w:r>
      <w:r>
        <w:rPr>
          <w:rFonts w:hint="eastAsia"/>
          <w:lang w:val="en-US" w:eastAsia="zh-CN"/>
        </w:rPr>
        <w:t>25</w:t>
      </w:r>
      <w:r>
        <w:t>年），项目</w:t>
      </w:r>
      <w:r>
        <w:rPr>
          <w:rFonts w:hint="eastAsia"/>
          <w:lang w:eastAsia="zh-CN"/>
        </w:rPr>
        <w:t>概算</w:t>
      </w:r>
      <w:r>
        <w:rPr>
          <w:rFonts w:hint="eastAsia"/>
          <w:lang w:val="en-US" w:eastAsia="zh-CN"/>
        </w:rPr>
        <w:t>包括建筑及安装工程费、</w:t>
      </w:r>
      <w:r>
        <w:t>独立费</w:t>
      </w:r>
      <w:r>
        <w:rPr>
          <w:rFonts w:hint="eastAsia"/>
          <w:lang w:val="en-US" w:eastAsia="zh-CN"/>
        </w:rPr>
        <w:t>用</w:t>
      </w:r>
      <w:r>
        <w:t>和基本预备费</w:t>
      </w:r>
      <w:r>
        <w:rPr>
          <w:rFonts w:hint="eastAsia"/>
          <w:lang w:val="en-US" w:eastAsia="zh-CN"/>
        </w:rPr>
        <w:t>三</w:t>
      </w:r>
      <w:r>
        <w:t>个部分组成。在计算中，单位以元或万元计，取小数点后两位，由于Excel自动进位引起的误差为0.01元。</w:t>
      </w:r>
    </w:p>
    <w:p w14:paraId="664CCD97">
      <w:pPr>
        <w:bidi w:val="0"/>
      </w:pPr>
      <w:r>
        <w:t>（一）建筑</w:t>
      </w:r>
      <w:r>
        <w:rPr>
          <w:rFonts w:hint="eastAsia"/>
          <w:lang w:val="en-US" w:eastAsia="zh-CN"/>
        </w:rPr>
        <w:t>及安装</w:t>
      </w:r>
      <w:r>
        <w:t>工程费</w:t>
      </w:r>
    </w:p>
    <w:p w14:paraId="40814504">
      <w:pPr>
        <w:bidi w:val="0"/>
        <w:rPr>
          <w:color w:val="auto"/>
          <w:szCs w:val="28"/>
        </w:rPr>
      </w:pPr>
      <w:r>
        <w:t>建筑工程费由直接费、间接费、利润和税金组成。</w:t>
      </w:r>
    </w:p>
    <w:p w14:paraId="0AE8F8F5">
      <w:pPr>
        <w:ind w:firstLine="560"/>
        <w:rPr>
          <w:color w:val="auto"/>
          <w:szCs w:val="28"/>
        </w:rPr>
      </w:pPr>
      <w:r>
        <w:rPr>
          <w:color w:val="auto"/>
          <w:szCs w:val="28"/>
        </w:rPr>
        <w:t>（1）直接费</w:t>
      </w:r>
    </w:p>
    <w:p w14:paraId="7E6EED34">
      <w:pPr>
        <w:ind w:firstLine="560"/>
        <w:rPr>
          <w:color w:val="auto"/>
          <w:szCs w:val="28"/>
        </w:rPr>
      </w:pPr>
      <w:r>
        <w:rPr>
          <w:color w:val="auto"/>
          <w:szCs w:val="28"/>
        </w:rPr>
        <w:t>直接费包括</w:t>
      </w:r>
      <w:r>
        <w:rPr>
          <w:rFonts w:hint="eastAsia"/>
          <w:color w:val="auto"/>
          <w:szCs w:val="28"/>
          <w:lang w:val="en-US" w:eastAsia="zh-CN"/>
        </w:rPr>
        <w:t>基本直接费和其他直接费组成</w:t>
      </w:r>
      <w:r>
        <w:rPr>
          <w:color w:val="auto"/>
          <w:szCs w:val="28"/>
        </w:rPr>
        <w:t>。</w:t>
      </w:r>
    </w:p>
    <w:p w14:paraId="3966B60F">
      <w:pPr>
        <w:ind w:firstLine="560"/>
        <w:rPr>
          <w:color w:val="auto"/>
          <w:szCs w:val="28"/>
        </w:rPr>
      </w:pPr>
      <w:r>
        <w:rPr>
          <w:color w:val="auto"/>
          <w:szCs w:val="28"/>
        </w:rPr>
        <w:t>1）</w:t>
      </w:r>
      <w:r>
        <w:rPr>
          <w:rFonts w:hint="eastAsia"/>
          <w:color w:val="auto"/>
          <w:szCs w:val="28"/>
          <w:lang w:val="en-US" w:eastAsia="zh-CN"/>
        </w:rPr>
        <w:t>基本直接费</w:t>
      </w:r>
    </w:p>
    <w:p w14:paraId="7864B12F">
      <w:pPr>
        <w:ind w:firstLine="560"/>
        <w:rPr>
          <w:color w:val="auto"/>
          <w:szCs w:val="28"/>
        </w:rPr>
      </w:pPr>
      <w:r>
        <w:rPr>
          <w:rFonts w:hint="eastAsia"/>
          <w:color w:val="auto"/>
          <w:szCs w:val="28"/>
          <w:lang w:val="en-US" w:eastAsia="zh-CN"/>
        </w:rPr>
        <w:t>基本直接费</w:t>
      </w:r>
      <w:r>
        <w:rPr>
          <w:color w:val="auto"/>
          <w:szCs w:val="28"/>
        </w:rPr>
        <w:t>由人工费、材料费和</w:t>
      </w:r>
      <w:r>
        <w:rPr>
          <w:rFonts w:hint="eastAsia"/>
          <w:color w:val="auto"/>
          <w:szCs w:val="28"/>
          <w:lang w:val="en-US" w:eastAsia="zh-CN"/>
        </w:rPr>
        <w:t>机械使用费</w:t>
      </w:r>
      <w:r>
        <w:rPr>
          <w:color w:val="auto"/>
          <w:szCs w:val="28"/>
        </w:rPr>
        <w:t>组成。</w:t>
      </w:r>
    </w:p>
    <w:p w14:paraId="0198C204">
      <w:pPr>
        <w:ind w:firstLine="560"/>
        <w:rPr>
          <w:color w:val="auto"/>
          <w:szCs w:val="28"/>
        </w:rPr>
      </w:pPr>
      <w:r>
        <w:rPr>
          <w:color w:val="auto"/>
          <w:szCs w:val="28"/>
        </w:rPr>
        <w:t>在计算人工定额工费时，《高标准农田建设项目预算定额》（DB36／T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年）及江西省水利水电工程人工</w:t>
      </w:r>
      <w:r>
        <w:rPr>
          <w:rFonts w:hint="eastAsia"/>
          <w:color w:val="auto"/>
          <w:szCs w:val="28"/>
          <w:lang w:eastAsia="zh-CN"/>
        </w:rPr>
        <w:t>概算</w:t>
      </w:r>
      <w:r>
        <w:rPr>
          <w:color w:val="auto"/>
          <w:szCs w:val="28"/>
        </w:rPr>
        <w:t xml:space="preserve">单价的通知 </w:t>
      </w:r>
      <w:r>
        <w:rPr>
          <w:rFonts w:hint="eastAsia"/>
          <w:color w:val="auto"/>
          <w:szCs w:val="28"/>
          <w:lang w:eastAsia="zh-CN"/>
        </w:rPr>
        <w:t>（</w:t>
      </w:r>
      <w:r>
        <w:rPr>
          <w:color w:val="auto"/>
          <w:szCs w:val="28"/>
        </w:rPr>
        <w:t xml:space="preserve">赣水规范文 </w:t>
      </w:r>
      <w:r>
        <w:rPr>
          <w:rFonts w:hint="eastAsia"/>
          <w:color w:val="auto"/>
          <w:szCs w:val="28"/>
          <w:lang w:eastAsia="zh-CN"/>
        </w:rPr>
        <w:t>〔2022〕2号）</w:t>
      </w:r>
      <w:r>
        <w:rPr>
          <w:color w:val="auto"/>
          <w:szCs w:val="28"/>
        </w:rPr>
        <w:t>，工长19.65元/工时；高级工18.18元/工时；中级工15.15元/工时；初级工10.45元/工时</w:t>
      </w:r>
    </w:p>
    <w:p w14:paraId="34C62276">
      <w:pPr>
        <w:ind w:firstLine="560"/>
        <w:rPr>
          <w:color w:val="auto"/>
          <w:szCs w:val="28"/>
        </w:rPr>
      </w:pPr>
      <w:r>
        <w:rPr>
          <w:color w:val="auto"/>
          <w:szCs w:val="28"/>
        </w:rPr>
        <w:t>材料费计算公式：材料费=工程量×定额材料费</w:t>
      </w:r>
    </w:p>
    <w:p w14:paraId="6B47C0A1">
      <w:pPr>
        <w:ind w:firstLine="560"/>
        <w:rPr>
          <w:color w:val="auto"/>
          <w:szCs w:val="28"/>
        </w:rPr>
      </w:pPr>
      <w:r>
        <w:rPr>
          <w:color w:val="auto"/>
          <w:szCs w:val="28"/>
        </w:rPr>
        <w:t>定额材料用量从《高标准农田建设项目预算定额》（DB36／T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年）查取。材料费单价根据《江西省造价信息》</w:t>
      </w:r>
      <w:r>
        <w:rPr>
          <w:rFonts w:hint="eastAsia"/>
          <w:color w:val="auto"/>
          <w:szCs w:val="28"/>
        </w:rPr>
        <w:t>（</w:t>
      </w:r>
      <w:r>
        <w:rPr>
          <w:rFonts w:hint="eastAsia"/>
          <w:color w:val="auto"/>
          <w:szCs w:val="28"/>
          <w:lang w:val="en-US" w:eastAsia="zh-CN"/>
        </w:rPr>
        <w:t>景德镇</w:t>
      </w:r>
      <w:r>
        <w:rPr>
          <w:rFonts w:hint="eastAsia"/>
          <w:color w:val="auto"/>
          <w:szCs w:val="28"/>
        </w:rPr>
        <w:t>市</w:t>
      </w:r>
      <w:r>
        <w:rPr>
          <w:color w:val="auto"/>
          <w:szCs w:val="28"/>
        </w:rPr>
        <w:t>、</w:t>
      </w:r>
      <w:r>
        <w:rPr>
          <w:rFonts w:hint="eastAsia"/>
          <w:color w:val="auto"/>
          <w:szCs w:val="28"/>
          <w:lang w:val="en-US" w:eastAsia="zh-CN"/>
        </w:rPr>
        <w:t>昌江区</w:t>
      </w:r>
      <w:r>
        <w:rPr>
          <w:rFonts w:hint="eastAsia"/>
          <w:color w:val="auto"/>
          <w:szCs w:val="28"/>
        </w:rPr>
        <w:t>部分）</w:t>
      </w:r>
      <w:r>
        <w:rPr>
          <w:color w:val="auto"/>
          <w:szCs w:val="28"/>
        </w:rPr>
        <w:t>（20</w:t>
      </w:r>
      <w:r>
        <w:rPr>
          <w:rFonts w:hint="eastAsia"/>
          <w:color w:val="auto"/>
          <w:szCs w:val="28"/>
        </w:rPr>
        <w:t>2</w:t>
      </w:r>
      <w:r>
        <w:rPr>
          <w:rFonts w:hint="eastAsia"/>
          <w:color w:val="auto"/>
          <w:szCs w:val="28"/>
          <w:lang w:val="en-US" w:eastAsia="zh-CN"/>
        </w:rPr>
        <w:t>6</w:t>
      </w:r>
      <w:r>
        <w:rPr>
          <w:rFonts w:hint="eastAsia"/>
          <w:color w:val="auto"/>
          <w:szCs w:val="28"/>
        </w:rPr>
        <w:t>.</w:t>
      </w:r>
      <w:r>
        <w:rPr>
          <w:color w:val="auto"/>
          <w:szCs w:val="28"/>
        </w:rPr>
        <w:t>0</w:t>
      </w:r>
      <w:r>
        <w:rPr>
          <w:rFonts w:hint="eastAsia"/>
          <w:color w:val="auto"/>
          <w:szCs w:val="28"/>
          <w:lang w:val="en-US" w:eastAsia="zh-CN"/>
        </w:rPr>
        <w:t>6</w:t>
      </w:r>
      <w:r>
        <w:rPr>
          <w:color w:val="auto"/>
          <w:szCs w:val="28"/>
        </w:rPr>
        <w:t>）中的</w:t>
      </w:r>
      <w:r>
        <w:rPr>
          <w:rFonts w:hint="eastAsia"/>
          <w:color w:val="auto"/>
          <w:szCs w:val="28"/>
          <w:lang w:eastAsia="zh-CN"/>
        </w:rPr>
        <w:t>概算</w:t>
      </w:r>
      <w:r>
        <w:rPr>
          <w:color w:val="auto"/>
          <w:szCs w:val="28"/>
        </w:rPr>
        <w:t>价和市场询价而定。</w:t>
      </w:r>
    </w:p>
    <w:p w14:paraId="3300920E">
      <w:pPr>
        <w:ind w:firstLine="560"/>
        <w:rPr>
          <w:color w:val="auto"/>
          <w:szCs w:val="28"/>
        </w:rPr>
      </w:pPr>
      <w:r>
        <w:rPr>
          <w:color w:val="auto"/>
          <w:szCs w:val="28"/>
        </w:rPr>
        <w:t>定额施工机械台班数依据《高标准农田建设项目预算定额》（DB36／T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年）计取，定额台班费根据《高标准农田建设项目预算定额》（DB36／T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年）计算。</w:t>
      </w:r>
    </w:p>
    <w:p w14:paraId="139A86C3">
      <w:pPr>
        <w:ind w:firstLine="560"/>
        <w:rPr>
          <w:color w:val="auto"/>
          <w:szCs w:val="28"/>
        </w:rPr>
      </w:pPr>
      <w:r>
        <w:rPr>
          <w:color w:val="auto"/>
          <w:szCs w:val="28"/>
        </w:rPr>
        <w:t>定额施工机械使用费公式：定额施工机械使用费＝定额台班数×定额施工机械台班费</w:t>
      </w:r>
    </w:p>
    <w:p w14:paraId="2A701430">
      <w:pPr>
        <w:ind w:firstLine="560"/>
        <w:rPr>
          <w:color w:val="auto"/>
          <w:szCs w:val="28"/>
        </w:rPr>
      </w:pPr>
      <w:r>
        <w:rPr>
          <w:color w:val="auto"/>
          <w:szCs w:val="28"/>
        </w:rPr>
        <w:t>施工机械费计算公式：施工机械费=工程量×定额施工机械使用费</w:t>
      </w:r>
    </w:p>
    <w:p w14:paraId="55DC001C">
      <w:pPr>
        <w:ind w:firstLine="560"/>
        <w:rPr>
          <w:color w:val="auto"/>
          <w:szCs w:val="28"/>
        </w:rPr>
      </w:pPr>
      <w:r>
        <w:rPr>
          <w:color w:val="auto"/>
          <w:szCs w:val="28"/>
        </w:rPr>
        <w:t>2）</w:t>
      </w:r>
      <w:r>
        <w:rPr>
          <w:rFonts w:hint="eastAsia"/>
          <w:color w:val="auto"/>
          <w:szCs w:val="28"/>
          <w:lang w:val="en-US" w:eastAsia="zh-CN"/>
        </w:rPr>
        <w:t>其他直接</w:t>
      </w:r>
      <w:r>
        <w:rPr>
          <w:color w:val="auto"/>
          <w:szCs w:val="28"/>
        </w:rPr>
        <w:t>费</w:t>
      </w:r>
    </w:p>
    <w:p w14:paraId="02DDBA62">
      <w:pPr>
        <w:ind w:firstLine="560"/>
        <w:rPr>
          <w:rFonts w:hint="eastAsia"/>
          <w:color w:val="auto"/>
          <w:szCs w:val="28"/>
        </w:rPr>
      </w:pPr>
      <w:r>
        <w:rPr>
          <w:color w:val="auto"/>
          <w:szCs w:val="28"/>
        </w:rPr>
        <w:t>根据《高标准农田建设项目预算定额》（DB36／T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w:t>
      </w:r>
      <w:r>
        <w:rPr>
          <w:rFonts w:hint="eastAsia"/>
          <w:color w:val="auto"/>
          <w:szCs w:val="28"/>
          <w:lang w:val="en-US" w:eastAsia="zh-CN"/>
        </w:rPr>
        <w:t>规定其他直接费按2.4%计算。其他直接</w:t>
      </w:r>
      <w:r>
        <w:rPr>
          <w:color w:val="auto"/>
          <w:szCs w:val="28"/>
        </w:rPr>
        <w:t>费包括冬雨季施工增加费、夜间施工增加费、</w:t>
      </w:r>
      <w:r>
        <w:rPr>
          <w:rFonts w:hint="eastAsia"/>
          <w:color w:val="auto"/>
          <w:szCs w:val="28"/>
          <w:lang w:val="en-US" w:eastAsia="zh-CN"/>
        </w:rPr>
        <w:t>小型临时设施费</w:t>
      </w:r>
      <w:r>
        <w:rPr>
          <w:color w:val="auto"/>
          <w:szCs w:val="28"/>
        </w:rPr>
        <w:t>和其他。</w:t>
      </w:r>
    </w:p>
    <w:p w14:paraId="34CDA98D">
      <w:pPr>
        <w:ind w:firstLine="560"/>
        <w:rPr>
          <w:color w:val="auto"/>
          <w:szCs w:val="28"/>
        </w:rPr>
      </w:pPr>
      <w:r>
        <w:rPr>
          <w:color w:val="auto"/>
          <w:szCs w:val="28"/>
        </w:rPr>
        <w:t>（2）间接费</w:t>
      </w:r>
    </w:p>
    <w:p w14:paraId="1334BC5C">
      <w:pPr>
        <w:ind w:firstLine="560"/>
        <w:rPr>
          <w:rFonts w:hint="eastAsia"/>
          <w:color w:val="auto"/>
          <w:szCs w:val="28"/>
        </w:rPr>
      </w:pPr>
      <w:r>
        <w:rPr>
          <w:color w:val="auto"/>
          <w:szCs w:val="28"/>
        </w:rPr>
        <w:t>根据《高标准农田建设项目预算定额》（DB36／T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年），间接费包括规费和企业管理费。措施费费率和计算基数见表3。</w:t>
      </w:r>
    </w:p>
    <w:p w14:paraId="7119F08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b w:val="0"/>
          <w:bCs/>
          <w:color w:val="auto"/>
          <w:szCs w:val="28"/>
        </w:rPr>
      </w:pPr>
      <w:r>
        <w:rPr>
          <w:b w:val="0"/>
          <w:bCs/>
          <w:color w:val="auto"/>
          <w:szCs w:val="28"/>
        </w:rPr>
        <w:t>表</w:t>
      </w:r>
      <w:r>
        <w:rPr>
          <w:rFonts w:hint="eastAsia"/>
          <w:b w:val="0"/>
          <w:bCs/>
          <w:color w:val="auto"/>
          <w:szCs w:val="28"/>
          <w:lang w:val="en-US" w:eastAsia="zh-CN"/>
        </w:rPr>
        <w:t>7.1-1</w:t>
      </w:r>
      <w:r>
        <w:rPr>
          <w:b w:val="0"/>
          <w:bCs/>
          <w:color w:val="auto"/>
          <w:szCs w:val="28"/>
        </w:rPr>
        <w:t xml:space="preserve">  </w:t>
      </w:r>
      <w:r>
        <w:rPr>
          <w:rFonts w:hint="eastAsia"/>
          <w:b w:val="0"/>
          <w:bCs/>
          <w:color w:val="auto"/>
          <w:szCs w:val="28"/>
          <w:lang w:val="en-US" w:eastAsia="zh-CN"/>
        </w:rPr>
        <w:t xml:space="preserve"> </w:t>
      </w:r>
      <w:r>
        <w:rPr>
          <w:b w:val="0"/>
          <w:bCs/>
          <w:color w:val="auto"/>
          <w:szCs w:val="28"/>
        </w:rPr>
        <w:t>间接费费率表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6"/>
        <w:gridCol w:w="2905"/>
        <w:gridCol w:w="2311"/>
        <w:gridCol w:w="2311"/>
      </w:tblGrid>
      <w:tr w14:paraId="72D95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716" w:type="dxa"/>
            <w:noWrap w:val="0"/>
            <w:vAlign w:val="center"/>
          </w:tcPr>
          <w:p w14:paraId="3FBFA31D">
            <w:pPr>
              <w:widowControl/>
              <w:spacing w:line="240" w:lineRule="auto"/>
              <w:ind w:firstLine="420" w:firstLineChars="0"/>
              <w:jc w:val="center"/>
              <w:rPr>
                <w:color w:val="auto"/>
                <w:kern w:val="0"/>
                <w:sz w:val="21"/>
                <w:szCs w:val="21"/>
              </w:rPr>
            </w:pPr>
            <w:r>
              <w:rPr>
                <w:color w:val="auto"/>
                <w:kern w:val="0"/>
                <w:sz w:val="21"/>
                <w:szCs w:val="21"/>
              </w:rPr>
              <w:t>序号</w:t>
            </w:r>
          </w:p>
        </w:tc>
        <w:tc>
          <w:tcPr>
            <w:tcW w:w="2905" w:type="dxa"/>
            <w:noWrap w:val="0"/>
            <w:vAlign w:val="center"/>
          </w:tcPr>
          <w:p w14:paraId="7C912BD1">
            <w:pPr>
              <w:widowControl/>
              <w:spacing w:line="240" w:lineRule="auto"/>
              <w:ind w:firstLine="0" w:firstLineChars="0"/>
              <w:jc w:val="center"/>
              <w:rPr>
                <w:color w:val="auto"/>
                <w:kern w:val="0"/>
                <w:sz w:val="21"/>
                <w:szCs w:val="21"/>
              </w:rPr>
            </w:pPr>
            <w:r>
              <w:rPr>
                <w:color w:val="auto"/>
                <w:kern w:val="0"/>
                <w:sz w:val="21"/>
                <w:szCs w:val="21"/>
              </w:rPr>
              <w:t>项目类别</w:t>
            </w:r>
          </w:p>
        </w:tc>
        <w:tc>
          <w:tcPr>
            <w:tcW w:w="2311" w:type="dxa"/>
            <w:noWrap w:val="0"/>
            <w:vAlign w:val="center"/>
          </w:tcPr>
          <w:p w14:paraId="24C94EAC">
            <w:pPr>
              <w:widowControl/>
              <w:spacing w:line="240" w:lineRule="auto"/>
              <w:ind w:firstLine="0" w:firstLineChars="0"/>
              <w:jc w:val="center"/>
              <w:rPr>
                <w:color w:val="auto"/>
                <w:kern w:val="0"/>
                <w:sz w:val="21"/>
                <w:szCs w:val="21"/>
              </w:rPr>
            </w:pPr>
            <w:r>
              <w:rPr>
                <w:color w:val="auto"/>
                <w:kern w:val="0"/>
                <w:sz w:val="21"/>
                <w:szCs w:val="21"/>
              </w:rPr>
              <w:t>计算基础</w:t>
            </w:r>
          </w:p>
        </w:tc>
        <w:tc>
          <w:tcPr>
            <w:tcW w:w="2311" w:type="dxa"/>
            <w:noWrap w:val="0"/>
            <w:vAlign w:val="center"/>
          </w:tcPr>
          <w:p w14:paraId="0C2FC281">
            <w:pPr>
              <w:widowControl/>
              <w:spacing w:line="240" w:lineRule="auto"/>
              <w:ind w:firstLine="0" w:firstLineChars="0"/>
              <w:jc w:val="center"/>
              <w:rPr>
                <w:color w:val="auto"/>
                <w:kern w:val="0"/>
                <w:sz w:val="21"/>
                <w:szCs w:val="21"/>
              </w:rPr>
            </w:pPr>
            <w:r>
              <w:rPr>
                <w:color w:val="auto"/>
                <w:kern w:val="0"/>
                <w:sz w:val="21"/>
                <w:szCs w:val="21"/>
              </w:rPr>
              <w:t>间接费费率（%）</w:t>
            </w:r>
          </w:p>
        </w:tc>
      </w:tr>
      <w:tr w14:paraId="34FBA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716" w:type="dxa"/>
            <w:noWrap w:val="0"/>
            <w:vAlign w:val="center"/>
          </w:tcPr>
          <w:p w14:paraId="7749B315">
            <w:pPr>
              <w:widowControl/>
              <w:spacing w:line="240" w:lineRule="auto"/>
              <w:ind w:firstLine="420" w:firstLineChars="0"/>
              <w:jc w:val="center"/>
              <w:rPr>
                <w:rFonts w:hint="eastAsia" w:eastAsia="宋体"/>
                <w:color w:val="auto"/>
                <w:kern w:val="0"/>
                <w:sz w:val="21"/>
                <w:szCs w:val="21"/>
                <w:lang w:val="en-US" w:eastAsia="zh-CN"/>
              </w:rPr>
            </w:pPr>
            <w:r>
              <w:rPr>
                <w:rFonts w:hint="eastAsia"/>
                <w:color w:val="auto"/>
                <w:kern w:val="0"/>
                <w:sz w:val="21"/>
                <w:szCs w:val="21"/>
                <w:lang w:val="en-US" w:eastAsia="zh-CN"/>
              </w:rPr>
              <w:t>一</w:t>
            </w:r>
          </w:p>
        </w:tc>
        <w:tc>
          <w:tcPr>
            <w:tcW w:w="2905" w:type="dxa"/>
            <w:noWrap w:val="0"/>
            <w:vAlign w:val="center"/>
          </w:tcPr>
          <w:p w14:paraId="28EEA085">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建筑工程</w:t>
            </w:r>
          </w:p>
        </w:tc>
        <w:tc>
          <w:tcPr>
            <w:tcW w:w="2311" w:type="dxa"/>
            <w:noWrap w:val="0"/>
            <w:vAlign w:val="center"/>
          </w:tcPr>
          <w:p w14:paraId="58F21318">
            <w:pPr>
              <w:widowControl/>
              <w:spacing w:line="240" w:lineRule="auto"/>
              <w:ind w:firstLine="0" w:firstLineChars="0"/>
              <w:jc w:val="center"/>
              <w:rPr>
                <w:color w:val="auto"/>
                <w:kern w:val="0"/>
                <w:sz w:val="21"/>
                <w:szCs w:val="21"/>
              </w:rPr>
            </w:pPr>
          </w:p>
        </w:tc>
        <w:tc>
          <w:tcPr>
            <w:tcW w:w="2311" w:type="dxa"/>
            <w:noWrap w:val="0"/>
            <w:vAlign w:val="center"/>
          </w:tcPr>
          <w:p w14:paraId="371AB099">
            <w:pPr>
              <w:widowControl/>
              <w:spacing w:line="240" w:lineRule="auto"/>
              <w:ind w:firstLine="0" w:firstLineChars="0"/>
              <w:jc w:val="center"/>
              <w:rPr>
                <w:color w:val="auto"/>
                <w:kern w:val="0"/>
                <w:sz w:val="21"/>
                <w:szCs w:val="21"/>
              </w:rPr>
            </w:pPr>
          </w:p>
        </w:tc>
      </w:tr>
      <w:tr w14:paraId="62D3E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30BE300D">
            <w:pPr>
              <w:widowControl/>
              <w:spacing w:line="240" w:lineRule="auto"/>
              <w:ind w:firstLine="0" w:firstLineChars="0"/>
              <w:jc w:val="center"/>
              <w:rPr>
                <w:color w:val="auto"/>
                <w:kern w:val="0"/>
                <w:sz w:val="21"/>
                <w:szCs w:val="21"/>
              </w:rPr>
            </w:pPr>
            <w:r>
              <w:rPr>
                <w:color w:val="auto"/>
                <w:kern w:val="0"/>
                <w:sz w:val="21"/>
                <w:szCs w:val="21"/>
              </w:rPr>
              <w:t>1</w:t>
            </w:r>
          </w:p>
        </w:tc>
        <w:tc>
          <w:tcPr>
            <w:tcW w:w="2905" w:type="dxa"/>
            <w:noWrap w:val="0"/>
            <w:vAlign w:val="center"/>
          </w:tcPr>
          <w:p w14:paraId="2B27E2D5">
            <w:pPr>
              <w:widowControl/>
              <w:spacing w:line="240" w:lineRule="auto"/>
              <w:ind w:firstLine="0" w:firstLineChars="0"/>
              <w:jc w:val="center"/>
              <w:rPr>
                <w:color w:val="auto"/>
                <w:kern w:val="0"/>
                <w:sz w:val="21"/>
                <w:szCs w:val="21"/>
              </w:rPr>
            </w:pPr>
            <w:r>
              <w:rPr>
                <w:color w:val="auto"/>
                <w:kern w:val="0"/>
                <w:sz w:val="21"/>
                <w:szCs w:val="21"/>
              </w:rPr>
              <w:t>土方工程</w:t>
            </w:r>
          </w:p>
        </w:tc>
        <w:tc>
          <w:tcPr>
            <w:tcW w:w="2311" w:type="dxa"/>
            <w:noWrap w:val="0"/>
            <w:vAlign w:val="center"/>
          </w:tcPr>
          <w:p w14:paraId="2D99BFC8">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7192F753">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5.5</w:t>
            </w:r>
          </w:p>
        </w:tc>
      </w:tr>
      <w:tr w14:paraId="7CBCF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2923C31D">
            <w:pPr>
              <w:widowControl/>
              <w:spacing w:line="240" w:lineRule="auto"/>
              <w:ind w:firstLine="0" w:firstLineChars="0"/>
              <w:jc w:val="center"/>
              <w:rPr>
                <w:color w:val="auto"/>
                <w:kern w:val="0"/>
                <w:sz w:val="21"/>
                <w:szCs w:val="21"/>
              </w:rPr>
            </w:pPr>
            <w:r>
              <w:rPr>
                <w:color w:val="auto"/>
                <w:kern w:val="0"/>
                <w:sz w:val="21"/>
                <w:szCs w:val="21"/>
              </w:rPr>
              <w:t>2</w:t>
            </w:r>
          </w:p>
        </w:tc>
        <w:tc>
          <w:tcPr>
            <w:tcW w:w="2905" w:type="dxa"/>
            <w:noWrap w:val="0"/>
            <w:vAlign w:val="center"/>
          </w:tcPr>
          <w:p w14:paraId="0BAEC495">
            <w:pPr>
              <w:widowControl/>
              <w:spacing w:line="240" w:lineRule="auto"/>
              <w:ind w:firstLine="0" w:firstLineChars="0"/>
              <w:jc w:val="center"/>
              <w:rPr>
                <w:color w:val="auto"/>
                <w:kern w:val="0"/>
                <w:sz w:val="21"/>
                <w:szCs w:val="21"/>
              </w:rPr>
            </w:pPr>
            <w:r>
              <w:rPr>
                <w:color w:val="auto"/>
                <w:kern w:val="0"/>
                <w:sz w:val="21"/>
                <w:szCs w:val="21"/>
              </w:rPr>
              <w:t>石方工程</w:t>
            </w:r>
          </w:p>
        </w:tc>
        <w:tc>
          <w:tcPr>
            <w:tcW w:w="2311" w:type="dxa"/>
            <w:noWrap w:val="0"/>
            <w:vAlign w:val="center"/>
          </w:tcPr>
          <w:p w14:paraId="01CFE440">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08D4E70A">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6.5</w:t>
            </w:r>
          </w:p>
        </w:tc>
      </w:tr>
      <w:tr w14:paraId="35A3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6C000DD0">
            <w:pPr>
              <w:widowControl/>
              <w:spacing w:line="240" w:lineRule="auto"/>
              <w:ind w:firstLine="0" w:firstLineChars="0"/>
              <w:jc w:val="center"/>
              <w:rPr>
                <w:color w:val="auto"/>
                <w:kern w:val="0"/>
                <w:sz w:val="21"/>
                <w:szCs w:val="21"/>
              </w:rPr>
            </w:pPr>
            <w:r>
              <w:rPr>
                <w:color w:val="auto"/>
                <w:kern w:val="0"/>
                <w:sz w:val="21"/>
                <w:szCs w:val="21"/>
              </w:rPr>
              <w:t>3</w:t>
            </w:r>
          </w:p>
        </w:tc>
        <w:tc>
          <w:tcPr>
            <w:tcW w:w="2905" w:type="dxa"/>
            <w:noWrap w:val="0"/>
            <w:vAlign w:val="center"/>
          </w:tcPr>
          <w:p w14:paraId="4B4AFD6F">
            <w:pPr>
              <w:widowControl/>
              <w:spacing w:line="240" w:lineRule="auto"/>
              <w:ind w:firstLine="0" w:firstLineChars="0"/>
              <w:jc w:val="center"/>
              <w:rPr>
                <w:color w:val="auto"/>
                <w:kern w:val="0"/>
                <w:sz w:val="21"/>
                <w:szCs w:val="21"/>
              </w:rPr>
            </w:pPr>
            <w:r>
              <w:rPr>
                <w:rFonts w:hint="eastAsia"/>
                <w:color w:val="auto"/>
                <w:kern w:val="0"/>
                <w:sz w:val="21"/>
                <w:szCs w:val="21"/>
                <w:lang w:val="en-US" w:eastAsia="zh-CN"/>
              </w:rPr>
              <w:t>堆砌石</w:t>
            </w:r>
            <w:r>
              <w:rPr>
                <w:color w:val="auto"/>
                <w:kern w:val="0"/>
                <w:sz w:val="21"/>
                <w:szCs w:val="21"/>
              </w:rPr>
              <w:t>工程</w:t>
            </w:r>
          </w:p>
        </w:tc>
        <w:tc>
          <w:tcPr>
            <w:tcW w:w="2311" w:type="dxa"/>
            <w:noWrap w:val="0"/>
            <w:vAlign w:val="center"/>
          </w:tcPr>
          <w:p w14:paraId="5302C240">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00C25B0C">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7.0</w:t>
            </w:r>
          </w:p>
        </w:tc>
      </w:tr>
      <w:tr w14:paraId="59A7D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19B2A473">
            <w:pPr>
              <w:widowControl/>
              <w:spacing w:line="240" w:lineRule="auto"/>
              <w:ind w:firstLine="0" w:firstLineChars="0"/>
              <w:jc w:val="center"/>
              <w:rPr>
                <w:color w:val="auto"/>
                <w:kern w:val="0"/>
                <w:sz w:val="21"/>
                <w:szCs w:val="21"/>
              </w:rPr>
            </w:pPr>
            <w:r>
              <w:rPr>
                <w:color w:val="auto"/>
                <w:kern w:val="0"/>
                <w:sz w:val="21"/>
                <w:szCs w:val="21"/>
              </w:rPr>
              <w:t>4</w:t>
            </w:r>
          </w:p>
        </w:tc>
        <w:tc>
          <w:tcPr>
            <w:tcW w:w="2905" w:type="dxa"/>
            <w:noWrap w:val="0"/>
            <w:vAlign w:val="center"/>
          </w:tcPr>
          <w:p w14:paraId="5A2C156C">
            <w:pPr>
              <w:widowControl/>
              <w:spacing w:line="240" w:lineRule="auto"/>
              <w:ind w:firstLine="0" w:firstLineChars="0"/>
              <w:jc w:val="center"/>
              <w:rPr>
                <w:color w:val="auto"/>
                <w:kern w:val="0"/>
                <w:sz w:val="21"/>
                <w:szCs w:val="21"/>
              </w:rPr>
            </w:pPr>
            <w:r>
              <w:rPr>
                <w:color w:val="auto"/>
                <w:kern w:val="0"/>
                <w:sz w:val="21"/>
                <w:szCs w:val="21"/>
              </w:rPr>
              <w:t>混凝土工程</w:t>
            </w:r>
          </w:p>
        </w:tc>
        <w:tc>
          <w:tcPr>
            <w:tcW w:w="2311" w:type="dxa"/>
            <w:noWrap w:val="0"/>
            <w:vAlign w:val="center"/>
          </w:tcPr>
          <w:p w14:paraId="39E7AF8E">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498ED49A">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6.5</w:t>
            </w:r>
          </w:p>
        </w:tc>
      </w:tr>
      <w:tr w14:paraId="12348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683C9180">
            <w:pPr>
              <w:widowControl/>
              <w:spacing w:line="240" w:lineRule="auto"/>
              <w:ind w:firstLine="0" w:firstLineChars="0"/>
              <w:jc w:val="center"/>
              <w:rPr>
                <w:color w:val="auto"/>
                <w:kern w:val="0"/>
                <w:sz w:val="21"/>
                <w:szCs w:val="21"/>
              </w:rPr>
            </w:pPr>
            <w:r>
              <w:rPr>
                <w:color w:val="auto"/>
                <w:kern w:val="0"/>
                <w:sz w:val="21"/>
                <w:szCs w:val="21"/>
              </w:rPr>
              <w:t>5</w:t>
            </w:r>
          </w:p>
        </w:tc>
        <w:tc>
          <w:tcPr>
            <w:tcW w:w="2905" w:type="dxa"/>
            <w:noWrap w:val="0"/>
            <w:vAlign w:val="center"/>
          </w:tcPr>
          <w:p w14:paraId="4EAEDA5D">
            <w:pPr>
              <w:widowControl/>
              <w:spacing w:line="240" w:lineRule="auto"/>
              <w:ind w:firstLine="0" w:firstLineChars="0"/>
              <w:jc w:val="center"/>
              <w:rPr>
                <w:color w:val="auto"/>
                <w:kern w:val="0"/>
                <w:sz w:val="21"/>
                <w:szCs w:val="21"/>
              </w:rPr>
            </w:pPr>
            <w:r>
              <w:rPr>
                <w:color w:val="auto"/>
                <w:kern w:val="0"/>
                <w:sz w:val="21"/>
                <w:szCs w:val="21"/>
              </w:rPr>
              <w:t>钢筋制安</w:t>
            </w:r>
            <w:r>
              <w:rPr>
                <w:rFonts w:hint="eastAsia"/>
                <w:color w:val="auto"/>
                <w:kern w:val="0"/>
                <w:sz w:val="21"/>
                <w:szCs w:val="21"/>
                <w:lang w:eastAsia="zh-CN"/>
              </w:rPr>
              <w:t>、</w:t>
            </w:r>
            <w:r>
              <w:rPr>
                <w:rFonts w:hint="eastAsia"/>
                <w:color w:val="auto"/>
                <w:kern w:val="0"/>
                <w:sz w:val="21"/>
                <w:szCs w:val="21"/>
                <w:lang w:val="en-US" w:eastAsia="zh-CN"/>
              </w:rPr>
              <w:t>铜片止水</w:t>
            </w:r>
            <w:r>
              <w:rPr>
                <w:color w:val="auto"/>
                <w:kern w:val="0"/>
                <w:sz w:val="21"/>
                <w:szCs w:val="21"/>
              </w:rPr>
              <w:t>工程</w:t>
            </w:r>
          </w:p>
        </w:tc>
        <w:tc>
          <w:tcPr>
            <w:tcW w:w="2311" w:type="dxa"/>
            <w:noWrap w:val="0"/>
            <w:vAlign w:val="center"/>
          </w:tcPr>
          <w:p w14:paraId="3E3ED699">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3199949E">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4.0</w:t>
            </w:r>
          </w:p>
        </w:tc>
      </w:tr>
      <w:tr w14:paraId="4EEB2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16BBD5EC">
            <w:pPr>
              <w:widowControl/>
              <w:spacing w:line="240" w:lineRule="auto"/>
              <w:ind w:firstLine="0" w:firstLineChars="0"/>
              <w:jc w:val="center"/>
              <w:rPr>
                <w:color w:val="auto"/>
                <w:kern w:val="0"/>
                <w:sz w:val="21"/>
                <w:szCs w:val="21"/>
              </w:rPr>
            </w:pPr>
            <w:r>
              <w:rPr>
                <w:color w:val="auto"/>
                <w:kern w:val="0"/>
                <w:sz w:val="21"/>
                <w:szCs w:val="21"/>
              </w:rPr>
              <w:t>6</w:t>
            </w:r>
          </w:p>
        </w:tc>
        <w:tc>
          <w:tcPr>
            <w:tcW w:w="2905" w:type="dxa"/>
            <w:noWrap w:val="0"/>
            <w:vAlign w:val="center"/>
          </w:tcPr>
          <w:p w14:paraId="587160BB">
            <w:pPr>
              <w:widowControl/>
              <w:spacing w:line="240" w:lineRule="auto"/>
              <w:ind w:firstLine="0" w:firstLineChars="0"/>
              <w:jc w:val="center"/>
              <w:rPr>
                <w:color w:val="auto"/>
                <w:kern w:val="0"/>
                <w:sz w:val="21"/>
                <w:szCs w:val="21"/>
              </w:rPr>
            </w:pPr>
            <w:r>
              <w:rPr>
                <w:color w:val="auto"/>
                <w:kern w:val="0"/>
                <w:sz w:val="21"/>
                <w:szCs w:val="21"/>
              </w:rPr>
              <w:t>模板工程</w:t>
            </w:r>
          </w:p>
        </w:tc>
        <w:tc>
          <w:tcPr>
            <w:tcW w:w="2311" w:type="dxa"/>
            <w:noWrap w:val="0"/>
            <w:vAlign w:val="center"/>
          </w:tcPr>
          <w:p w14:paraId="38B540DE">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100F5D40">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5.5</w:t>
            </w:r>
          </w:p>
        </w:tc>
      </w:tr>
      <w:tr w14:paraId="44A27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65B4D757">
            <w:pPr>
              <w:widowControl/>
              <w:spacing w:line="240" w:lineRule="auto"/>
              <w:ind w:firstLine="0" w:firstLineChars="0"/>
              <w:jc w:val="center"/>
              <w:rPr>
                <w:color w:val="auto"/>
                <w:kern w:val="0"/>
                <w:sz w:val="21"/>
                <w:szCs w:val="21"/>
              </w:rPr>
            </w:pPr>
            <w:r>
              <w:rPr>
                <w:color w:val="auto"/>
                <w:kern w:val="0"/>
                <w:sz w:val="21"/>
                <w:szCs w:val="21"/>
              </w:rPr>
              <w:t>7</w:t>
            </w:r>
          </w:p>
        </w:tc>
        <w:tc>
          <w:tcPr>
            <w:tcW w:w="2905" w:type="dxa"/>
            <w:noWrap w:val="0"/>
            <w:vAlign w:val="center"/>
          </w:tcPr>
          <w:p w14:paraId="4382B2B3">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农用井工程</w:t>
            </w:r>
          </w:p>
        </w:tc>
        <w:tc>
          <w:tcPr>
            <w:tcW w:w="2311" w:type="dxa"/>
            <w:noWrap w:val="0"/>
            <w:vAlign w:val="center"/>
          </w:tcPr>
          <w:p w14:paraId="100286F8">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13F72881">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8.0</w:t>
            </w:r>
          </w:p>
        </w:tc>
      </w:tr>
      <w:tr w14:paraId="47F3E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196E1F26">
            <w:pPr>
              <w:widowControl/>
              <w:spacing w:line="240" w:lineRule="auto"/>
              <w:ind w:firstLine="0" w:firstLineChars="0"/>
              <w:jc w:val="center"/>
              <w:rPr>
                <w:color w:val="auto"/>
                <w:kern w:val="0"/>
                <w:sz w:val="21"/>
                <w:szCs w:val="21"/>
              </w:rPr>
            </w:pPr>
            <w:r>
              <w:rPr>
                <w:color w:val="auto"/>
                <w:kern w:val="0"/>
                <w:sz w:val="21"/>
                <w:szCs w:val="21"/>
              </w:rPr>
              <w:t>8</w:t>
            </w:r>
          </w:p>
        </w:tc>
        <w:tc>
          <w:tcPr>
            <w:tcW w:w="2905" w:type="dxa"/>
            <w:noWrap w:val="0"/>
            <w:vAlign w:val="center"/>
          </w:tcPr>
          <w:p w14:paraId="5F9F0E5A">
            <w:pPr>
              <w:widowControl/>
              <w:spacing w:line="240" w:lineRule="auto"/>
              <w:ind w:firstLine="0" w:firstLineChars="0"/>
              <w:jc w:val="center"/>
              <w:rPr>
                <w:color w:val="auto"/>
                <w:kern w:val="0"/>
                <w:sz w:val="21"/>
                <w:szCs w:val="21"/>
              </w:rPr>
            </w:pPr>
            <w:r>
              <w:rPr>
                <w:color w:val="auto"/>
                <w:kern w:val="0"/>
                <w:sz w:val="21"/>
                <w:szCs w:val="21"/>
              </w:rPr>
              <w:t>其他工程</w:t>
            </w:r>
          </w:p>
        </w:tc>
        <w:tc>
          <w:tcPr>
            <w:tcW w:w="2311" w:type="dxa"/>
            <w:noWrap w:val="0"/>
            <w:vAlign w:val="center"/>
          </w:tcPr>
          <w:p w14:paraId="0DC15A95">
            <w:pPr>
              <w:widowControl/>
              <w:spacing w:line="240" w:lineRule="auto"/>
              <w:ind w:firstLine="0" w:firstLineChars="0"/>
              <w:jc w:val="center"/>
              <w:rPr>
                <w:color w:val="auto"/>
                <w:kern w:val="0"/>
                <w:sz w:val="21"/>
                <w:szCs w:val="21"/>
              </w:rPr>
            </w:pPr>
            <w:r>
              <w:rPr>
                <w:color w:val="auto"/>
                <w:kern w:val="0"/>
                <w:sz w:val="21"/>
                <w:szCs w:val="21"/>
              </w:rPr>
              <w:t>直接费</w:t>
            </w:r>
          </w:p>
        </w:tc>
        <w:tc>
          <w:tcPr>
            <w:tcW w:w="2311" w:type="dxa"/>
            <w:noWrap w:val="0"/>
            <w:vAlign w:val="center"/>
          </w:tcPr>
          <w:p w14:paraId="6BD5BC08">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6.0</w:t>
            </w:r>
          </w:p>
        </w:tc>
      </w:tr>
      <w:tr w14:paraId="7DDBB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6E01545F">
            <w:pPr>
              <w:widowControl/>
              <w:spacing w:line="240" w:lineRule="auto"/>
              <w:ind w:firstLine="0" w:firstLineChars="0"/>
              <w:jc w:val="center"/>
              <w:rPr>
                <w:rFonts w:hint="eastAsia" w:eastAsia="宋体"/>
                <w:color w:val="auto"/>
                <w:kern w:val="0"/>
                <w:sz w:val="21"/>
                <w:szCs w:val="21"/>
                <w:lang w:val="en-US" w:eastAsia="zh-CN"/>
              </w:rPr>
            </w:pPr>
            <w:r>
              <w:rPr>
                <w:rFonts w:hint="eastAsia"/>
                <w:color w:val="auto"/>
                <w:kern w:val="0"/>
                <w:sz w:val="21"/>
                <w:szCs w:val="21"/>
                <w:lang w:val="en-US" w:eastAsia="zh-CN"/>
              </w:rPr>
              <w:t>二</w:t>
            </w:r>
          </w:p>
        </w:tc>
        <w:tc>
          <w:tcPr>
            <w:tcW w:w="2905" w:type="dxa"/>
            <w:noWrap w:val="0"/>
            <w:vAlign w:val="center"/>
          </w:tcPr>
          <w:p w14:paraId="195507FC">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安装工程</w:t>
            </w:r>
          </w:p>
        </w:tc>
        <w:tc>
          <w:tcPr>
            <w:tcW w:w="2311" w:type="dxa"/>
            <w:noWrap w:val="0"/>
            <w:vAlign w:val="center"/>
          </w:tcPr>
          <w:p w14:paraId="2201710D">
            <w:pPr>
              <w:widowControl/>
              <w:spacing w:line="240" w:lineRule="auto"/>
              <w:ind w:firstLine="0" w:firstLineChars="0"/>
              <w:jc w:val="center"/>
              <w:rPr>
                <w:color w:val="auto"/>
                <w:kern w:val="0"/>
                <w:sz w:val="21"/>
                <w:szCs w:val="21"/>
              </w:rPr>
            </w:pPr>
          </w:p>
        </w:tc>
        <w:tc>
          <w:tcPr>
            <w:tcW w:w="2311" w:type="dxa"/>
            <w:noWrap w:val="0"/>
            <w:vAlign w:val="center"/>
          </w:tcPr>
          <w:p w14:paraId="71425440">
            <w:pPr>
              <w:widowControl/>
              <w:spacing w:line="240" w:lineRule="auto"/>
              <w:ind w:firstLine="0" w:firstLineChars="0"/>
              <w:jc w:val="center"/>
              <w:rPr>
                <w:rFonts w:hint="eastAsia"/>
                <w:color w:val="auto"/>
                <w:kern w:val="0"/>
                <w:sz w:val="21"/>
                <w:szCs w:val="21"/>
                <w:lang w:val="en-US" w:eastAsia="zh-CN"/>
              </w:rPr>
            </w:pPr>
          </w:p>
        </w:tc>
      </w:tr>
      <w:tr w14:paraId="51CD3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0E1C3D84">
            <w:pPr>
              <w:widowControl/>
              <w:spacing w:line="240" w:lineRule="auto"/>
              <w:ind w:firstLine="0" w:firstLineChars="0"/>
              <w:jc w:val="center"/>
              <w:rPr>
                <w:rFonts w:hint="eastAsia" w:eastAsia="宋体"/>
                <w:color w:val="auto"/>
                <w:kern w:val="0"/>
                <w:sz w:val="21"/>
                <w:szCs w:val="21"/>
                <w:lang w:eastAsia="zh-CN"/>
              </w:rPr>
            </w:pPr>
            <w:r>
              <w:rPr>
                <w:rFonts w:hint="eastAsia"/>
                <w:color w:val="auto"/>
                <w:kern w:val="0"/>
                <w:sz w:val="21"/>
                <w:szCs w:val="21"/>
                <w:lang w:val="en-US" w:eastAsia="zh-CN"/>
              </w:rPr>
              <w:t>1</w:t>
            </w:r>
          </w:p>
        </w:tc>
        <w:tc>
          <w:tcPr>
            <w:tcW w:w="2905" w:type="dxa"/>
            <w:noWrap w:val="0"/>
            <w:vAlign w:val="center"/>
          </w:tcPr>
          <w:p w14:paraId="523E6066">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管道安装工程</w:t>
            </w:r>
          </w:p>
        </w:tc>
        <w:tc>
          <w:tcPr>
            <w:tcW w:w="2311" w:type="dxa"/>
            <w:noWrap w:val="0"/>
            <w:vAlign w:val="center"/>
          </w:tcPr>
          <w:p w14:paraId="4557FCD2">
            <w:pPr>
              <w:widowControl/>
              <w:spacing w:line="240" w:lineRule="auto"/>
              <w:ind w:firstLine="0" w:firstLineChars="0"/>
              <w:jc w:val="center"/>
              <w:rPr>
                <w:color w:val="auto"/>
                <w:kern w:val="0"/>
                <w:sz w:val="21"/>
                <w:szCs w:val="21"/>
              </w:rPr>
            </w:pPr>
            <w:r>
              <w:rPr>
                <w:color w:val="auto"/>
                <w:kern w:val="0"/>
                <w:sz w:val="21"/>
                <w:szCs w:val="21"/>
              </w:rPr>
              <w:t>人工费</w:t>
            </w:r>
          </w:p>
        </w:tc>
        <w:tc>
          <w:tcPr>
            <w:tcW w:w="2311" w:type="dxa"/>
            <w:noWrap w:val="0"/>
            <w:vAlign w:val="center"/>
          </w:tcPr>
          <w:p w14:paraId="2D7C4D1D">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20</w:t>
            </w:r>
          </w:p>
        </w:tc>
      </w:tr>
      <w:tr w14:paraId="1DAFD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16" w:type="dxa"/>
            <w:noWrap w:val="0"/>
            <w:vAlign w:val="center"/>
          </w:tcPr>
          <w:p w14:paraId="3A6C97F4">
            <w:pPr>
              <w:widowControl/>
              <w:spacing w:line="240" w:lineRule="auto"/>
              <w:ind w:firstLine="0" w:firstLineChars="0"/>
              <w:jc w:val="center"/>
              <w:rPr>
                <w:rFonts w:hint="default"/>
                <w:color w:val="auto"/>
                <w:kern w:val="0"/>
                <w:sz w:val="21"/>
                <w:szCs w:val="21"/>
                <w:lang w:val="en-US" w:eastAsia="zh-CN"/>
              </w:rPr>
            </w:pPr>
            <w:r>
              <w:rPr>
                <w:rFonts w:hint="eastAsia"/>
                <w:color w:val="auto"/>
                <w:kern w:val="0"/>
                <w:sz w:val="21"/>
                <w:szCs w:val="21"/>
                <w:lang w:val="en-US" w:eastAsia="zh-CN"/>
              </w:rPr>
              <w:t>2</w:t>
            </w:r>
          </w:p>
        </w:tc>
        <w:tc>
          <w:tcPr>
            <w:tcW w:w="2905" w:type="dxa"/>
            <w:noWrap w:val="0"/>
            <w:vAlign w:val="center"/>
          </w:tcPr>
          <w:p w14:paraId="17F6EA9E">
            <w:pPr>
              <w:widowControl/>
              <w:spacing w:line="240" w:lineRule="auto"/>
              <w:ind w:firstLine="0" w:firstLineChars="0"/>
              <w:jc w:val="center"/>
              <w:rPr>
                <w:rFonts w:hint="default"/>
                <w:color w:val="auto"/>
                <w:kern w:val="0"/>
                <w:sz w:val="21"/>
                <w:szCs w:val="21"/>
                <w:lang w:val="en-US" w:eastAsia="zh-CN"/>
              </w:rPr>
            </w:pPr>
            <w:r>
              <w:rPr>
                <w:rFonts w:hint="eastAsia"/>
                <w:color w:val="auto"/>
                <w:kern w:val="0"/>
                <w:sz w:val="21"/>
                <w:szCs w:val="21"/>
                <w:lang w:val="en-US" w:eastAsia="zh-CN"/>
              </w:rPr>
              <w:t>设备安装工程</w:t>
            </w:r>
          </w:p>
        </w:tc>
        <w:tc>
          <w:tcPr>
            <w:tcW w:w="2311" w:type="dxa"/>
            <w:noWrap w:val="0"/>
            <w:vAlign w:val="center"/>
          </w:tcPr>
          <w:p w14:paraId="3BB92B94">
            <w:pPr>
              <w:widowControl/>
              <w:spacing w:line="240" w:lineRule="auto"/>
              <w:ind w:firstLine="0" w:firstLineChars="0"/>
              <w:jc w:val="center"/>
              <w:rPr>
                <w:rFonts w:hint="eastAsia" w:eastAsia="宋体"/>
                <w:color w:val="auto"/>
                <w:kern w:val="0"/>
                <w:sz w:val="21"/>
                <w:szCs w:val="21"/>
                <w:lang w:val="en-US" w:eastAsia="zh-CN"/>
              </w:rPr>
            </w:pPr>
            <w:r>
              <w:rPr>
                <w:rFonts w:hint="eastAsia"/>
                <w:color w:val="auto"/>
                <w:kern w:val="0"/>
                <w:sz w:val="21"/>
                <w:szCs w:val="21"/>
                <w:lang w:val="en-US" w:eastAsia="zh-CN"/>
              </w:rPr>
              <w:t>人工费</w:t>
            </w:r>
          </w:p>
        </w:tc>
        <w:tc>
          <w:tcPr>
            <w:tcW w:w="2311" w:type="dxa"/>
            <w:noWrap w:val="0"/>
            <w:vAlign w:val="center"/>
          </w:tcPr>
          <w:p w14:paraId="118F06F4">
            <w:pPr>
              <w:widowControl/>
              <w:spacing w:line="240" w:lineRule="auto"/>
              <w:ind w:firstLine="0" w:firstLineChars="0"/>
              <w:jc w:val="center"/>
              <w:rPr>
                <w:rFonts w:hint="default"/>
                <w:color w:val="auto"/>
                <w:kern w:val="0"/>
                <w:sz w:val="21"/>
                <w:szCs w:val="21"/>
                <w:lang w:val="en-US" w:eastAsia="zh-CN"/>
              </w:rPr>
            </w:pPr>
            <w:r>
              <w:rPr>
                <w:rFonts w:hint="eastAsia"/>
                <w:color w:val="auto"/>
                <w:kern w:val="0"/>
                <w:sz w:val="21"/>
                <w:szCs w:val="21"/>
                <w:lang w:val="en-US" w:eastAsia="zh-CN"/>
              </w:rPr>
              <w:t>25</w:t>
            </w:r>
          </w:p>
        </w:tc>
      </w:tr>
    </w:tbl>
    <w:p w14:paraId="29902356">
      <w:pPr>
        <w:ind w:firstLine="560"/>
        <w:rPr>
          <w:color w:val="auto"/>
          <w:szCs w:val="28"/>
        </w:rPr>
      </w:pPr>
      <w:r>
        <w:rPr>
          <w:color w:val="auto"/>
          <w:szCs w:val="28"/>
        </w:rPr>
        <w:t>（3）利润</w:t>
      </w:r>
    </w:p>
    <w:p w14:paraId="584B1429">
      <w:pPr>
        <w:ind w:firstLine="560"/>
        <w:rPr>
          <w:color w:val="auto"/>
          <w:szCs w:val="28"/>
        </w:rPr>
      </w:pPr>
      <w:r>
        <w:rPr>
          <w:color w:val="auto"/>
          <w:szCs w:val="28"/>
        </w:rPr>
        <w:t>根据《高标准农田建设项目预算定额》（DB36／T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年），计划利润按直接工程费与间接费之和的</w:t>
      </w:r>
      <w:r>
        <w:rPr>
          <w:rFonts w:hint="eastAsia"/>
          <w:color w:val="auto"/>
          <w:szCs w:val="28"/>
          <w:lang w:val="en-US" w:eastAsia="zh-CN"/>
        </w:rPr>
        <w:t>5</w:t>
      </w:r>
      <w:r>
        <w:rPr>
          <w:color w:val="auto"/>
          <w:szCs w:val="28"/>
        </w:rPr>
        <w:t>%计取。</w:t>
      </w:r>
    </w:p>
    <w:p w14:paraId="0D791145">
      <w:pPr>
        <w:ind w:firstLine="560"/>
        <w:rPr>
          <w:color w:val="auto"/>
          <w:szCs w:val="28"/>
        </w:rPr>
      </w:pPr>
      <w:r>
        <w:rPr>
          <w:color w:val="auto"/>
          <w:szCs w:val="28"/>
        </w:rPr>
        <w:t>计算公式：计划利润=（直接费+间接费）×</w:t>
      </w:r>
      <w:r>
        <w:rPr>
          <w:rFonts w:hint="eastAsia"/>
          <w:color w:val="auto"/>
          <w:szCs w:val="28"/>
          <w:lang w:val="en-US" w:eastAsia="zh-CN"/>
        </w:rPr>
        <w:t>5</w:t>
      </w:r>
      <w:r>
        <w:rPr>
          <w:color w:val="auto"/>
          <w:szCs w:val="28"/>
        </w:rPr>
        <w:t>%</w:t>
      </w:r>
    </w:p>
    <w:p w14:paraId="56277785">
      <w:pPr>
        <w:ind w:firstLine="560"/>
        <w:rPr>
          <w:color w:val="auto"/>
          <w:szCs w:val="28"/>
        </w:rPr>
      </w:pPr>
      <w:r>
        <w:rPr>
          <w:color w:val="auto"/>
          <w:szCs w:val="28"/>
        </w:rPr>
        <w:t>（4）税金</w:t>
      </w:r>
    </w:p>
    <w:p w14:paraId="7F4E1E2D">
      <w:pPr>
        <w:ind w:firstLine="560"/>
        <w:rPr>
          <w:color w:val="auto"/>
          <w:szCs w:val="28"/>
        </w:rPr>
      </w:pPr>
      <w:r>
        <w:rPr>
          <w:color w:val="auto"/>
          <w:szCs w:val="28"/>
        </w:rPr>
        <w:t>根据《高标准农田建设项目预算定额》（DB36／T</w:t>
      </w:r>
      <w:r>
        <w:rPr>
          <w:rFonts w:hint="eastAsia"/>
          <w:color w:val="auto"/>
          <w:szCs w:val="28"/>
        </w:rPr>
        <w:t> 2180</w:t>
      </w:r>
      <w:r>
        <w:rPr>
          <w:rFonts w:hint="eastAsia"/>
          <w:color w:val="auto"/>
          <w:szCs w:val="28"/>
          <w:lang w:eastAsia="zh-CN"/>
        </w:rPr>
        <w:t>）</w:t>
      </w:r>
      <w:r>
        <w:rPr>
          <w:color w:val="auto"/>
          <w:szCs w:val="28"/>
        </w:rPr>
        <w:t>（20</w:t>
      </w:r>
      <w:r>
        <w:rPr>
          <w:rFonts w:hint="eastAsia"/>
          <w:color w:val="auto"/>
          <w:szCs w:val="28"/>
          <w:lang w:val="en-US" w:eastAsia="zh-CN"/>
        </w:rPr>
        <w:t>25</w:t>
      </w:r>
      <w:r>
        <w:rPr>
          <w:color w:val="auto"/>
          <w:szCs w:val="28"/>
        </w:rPr>
        <w:t>年），税金按直接费、间接费和利润之和的</w:t>
      </w:r>
      <w:r>
        <w:rPr>
          <w:rFonts w:hint="eastAsia"/>
          <w:color w:val="auto"/>
          <w:szCs w:val="28"/>
        </w:rPr>
        <w:t>9</w:t>
      </w:r>
      <w:r>
        <w:rPr>
          <w:color w:val="auto"/>
          <w:szCs w:val="28"/>
        </w:rPr>
        <w:t>%计取。</w:t>
      </w:r>
    </w:p>
    <w:p w14:paraId="16A36E87">
      <w:pPr>
        <w:ind w:firstLine="560"/>
        <w:rPr>
          <w:color w:val="auto"/>
          <w:szCs w:val="28"/>
        </w:rPr>
      </w:pPr>
      <w:r>
        <w:rPr>
          <w:color w:val="auto"/>
          <w:szCs w:val="28"/>
        </w:rPr>
        <w:t>计算公式：税金=（直接费+间接费+利润）×</w:t>
      </w:r>
      <w:r>
        <w:rPr>
          <w:rFonts w:hint="eastAsia"/>
          <w:color w:val="auto"/>
          <w:szCs w:val="28"/>
        </w:rPr>
        <w:t>9</w:t>
      </w:r>
      <w:r>
        <w:rPr>
          <w:color w:val="auto"/>
          <w:szCs w:val="28"/>
        </w:rPr>
        <w:t>%</w:t>
      </w:r>
    </w:p>
    <w:p w14:paraId="647541B5">
      <w:pPr>
        <w:ind w:firstLine="560"/>
        <w:rPr>
          <w:color w:val="auto"/>
          <w:szCs w:val="28"/>
        </w:rPr>
      </w:pPr>
      <w:r>
        <w:rPr>
          <w:color w:val="auto"/>
          <w:szCs w:val="28"/>
        </w:rPr>
        <w:t>（</w:t>
      </w:r>
      <w:r>
        <w:rPr>
          <w:rFonts w:hint="eastAsia"/>
          <w:color w:val="auto"/>
          <w:szCs w:val="28"/>
        </w:rPr>
        <w:t>二</w:t>
      </w:r>
      <w:r>
        <w:rPr>
          <w:color w:val="auto"/>
          <w:szCs w:val="28"/>
        </w:rPr>
        <w:t>）独立费用</w:t>
      </w:r>
    </w:p>
    <w:p w14:paraId="1024F8C0">
      <w:pPr>
        <w:ind w:firstLine="560"/>
        <w:rPr>
          <w:color w:val="auto"/>
          <w:szCs w:val="28"/>
        </w:rPr>
      </w:pPr>
      <w:r>
        <w:rPr>
          <w:rFonts w:hint="eastAsia"/>
          <w:color w:val="auto"/>
          <w:szCs w:val="28"/>
        </w:rPr>
        <w:t>独立费用</w:t>
      </w:r>
      <w:r>
        <w:rPr>
          <w:rFonts w:hint="eastAsia"/>
          <w:color w:val="auto"/>
          <w:szCs w:val="28"/>
          <w:lang w:eastAsia="zh-CN"/>
        </w:rPr>
        <w:t>包括</w:t>
      </w:r>
      <w:r>
        <w:rPr>
          <w:rFonts w:hint="eastAsia"/>
          <w:color w:val="auto"/>
          <w:szCs w:val="28"/>
          <w:lang w:val="en-US" w:eastAsia="zh-CN"/>
        </w:rPr>
        <w:t>工程建设监理费、经济技术咨询费、勘察设计费</w:t>
      </w:r>
      <w:r>
        <w:rPr>
          <w:color w:val="auto"/>
          <w:szCs w:val="28"/>
        </w:rPr>
        <w:t>。</w:t>
      </w:r>
    </w:p>
    <w:p w14:paraId="466C673A">
      <w:pPr>
        <w:numPr>
          <w:ilvl w:val="0"/>
          <w:numId w:val="1"/>
        </w:numPr>
        <w:ind w:firstLine="560"/>
        <w:rPr>
          <w:color w:val="auto"/>
          <w:szCs w:val="28"/>
        </w:rPr>
      </w:pPr>
      <w:r>
        <w:rPr>
          <w:rFonts w:hint="eastAsia"/>
          <w:color w:val="auto"/>
          <w:szCs w:val="28"/>
          <w:lang w:val="en-US" w:eastAsia="zh-CN"/>
        </w:rPr>
        <w:t>建设管理费</w:t>
      </w:r>
    </w:p>
    <w:p w14:paraId="54AB02F9">
      <w:pPr>
        <w:ind w:firstLine="560"/>
        <w:rPr>
          <w:rFonts w:hint="eastAsia"/>
          <w:color w:val="auto"/>
          <w:szCs w:val="28"/>
          <w:lang w:val="en-US" w:eastAsia="zh-CN"/>
        </w:rPr>
      </w:pPr>
      <w:r>
        <w:rPr>
          <w:rFonts w:hint="eastAsia"/>
          <w:color w:val="auto"/>
          <w:szCs w:val="28"/>
          <w:lang w:val="en-US" w:eastAsia="zh-CN"/>
        </w:rPr>
        <w:t>项目建设管理费以一至三部分建安工程费、设备费之和为计算基数。以差额定率累进法计算。详见下表：</w:t>
      </w:r>
    </w:p>
    <w:p w14:paraId="297CA79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color w:val="auto"/>
          <w:szCs w:val="28"/>
          <w:lang w:val="en-US" w:eastAsia="zh-CN"/>
        </w:rPr>
      </w:pPr>
      <w:r>
        <w:rPr>
          <w:rFonts w:hint="eastAsia"/>
          <w:color w:val="auto"/>
          <w:szCs w:val="28"/>
          <w:lang w:val="en-US" w:eastAsia="zh-CN"/>
        </w:rPr>
        <w:t>表7.1-2  项目建设管理费计算标准</w:t>
      </w:r>
    </w:p>
    <w:p w14:paraId="39CA256F">
      <w:pPr>
        <w:bidi w:val="0"/>
        <w:rPr>
          <w:rFonts w:hint="default" w:eastAsia="宋体"/>
          <w:color w:val="auto"/>
          <w:szCs w:val="28"/>
          <w:lang w:val="en-US" w:eastAsia="zh-CN"/>
        </w:rPr>
      </w:pPr>
      <w:r>
        <w:rPr>
          <w:color w:val="auto"/>
        </w:rPr>
        <w:drawing>
          <wp:anchor distT="0" distB="0" distL="114300" distR="114300" simplePos="0" relativeHeight="251663360" behindDoc="0" locked="0" layoutInCell="1" allowOverlap="1">
            <wp:simplePos x="0" y="0"/>
            <wp:positionH relativeFrom="column">
              <wp:posOffset>15240</wp:posOffset>
            </wp:positionH>
            <wp:positionV relativeFrom="paragraph">
              <wp:posOffset>30480</wp:posOffset>
            </wp:positionV>
            <wp:extent cx="5727700" cy="2020570"/>
            <wp:effectExtent l="0" t="0" r="2540" b="6350"/>
            <wp:wrapSquare wrapText="bothSides"/>
            <wp:docPr id="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2"/>
                    <pic:cNvPicPr>
                      <a:picLocks noChangeAspect="1"/>
                    </pic:cNvPicPr>
                  </pic:nvPicPr>
                  <pic:blipFill>
                    <a:blip r:embed="rId67"/>
                    <a:stretch>
                      <a:fillRect/>
                    </a:stretch>
                  </pic:blipFill>
                  <pic:spPr>
                    <a:xfrm>
                      <a:off x="0" y="0"/>
                      <a:ext cx="5727700" cy="2020570"/>
                    </a:xfrm>
                    <a:prstGeom prst="rect">
                      <a:avLst/>
                    </a:prstGeom>
                    <a:noFill/>
                    <a:ln>
                      <a:noFill/>
                    </a:ln>
                  </pic:spPr>
                </pic:pic>
              </a:graphicData>
            </a:graphic>
          </wp:anchor>
        </w:drawing>
      </w:r>
      <w:r>
        <w:rPr>
          <w:color w:val="auto"/>
          <w:szCs w:val="28"/>
        </w:rPr>
        <w:t>（2）</w:t>
      </w:r>
      <w:r>
        <w:rPr>
          <w:rFonts w:hint="eastAsia"/>
          <w:color w:val="auto"/>
          <w:szCs w:val="28"/>
          <w:lang w:val="en-US" w:eastAsia="zh-CN"/>
        </w:rPr>
        <w:t>招标代理服务费</w:t>
      </w:r>
    </w:p>
    <w:p w14:paraId="49535863">
      <w:pPr>
        <w:ind w:firstLine="560"/>
        <w:rPr>
          <w:rFonts w:hint="eastAsia"/>
          <w:color w:val="auto"/>
          <w:szCs w:val="28"/>
          <w:lang w:val="en-US" w:eastAsia="zh-CN"/>
        </w:rPr>
      </w:pPr>
      <w:r>
        <w:rPr>
          <w:rFonts w:hint="eastAsia"/>
          <w:color w:val="auto"/>
          <w:szCs w:val="28"/>
          <w:lang w:val="en-US" w:eastAsia="zh-CN"/>
        </w:rPr>
        <w:t>招标代理服务费以招标代理业务对应的概算投资为计算基数。以差额定率累进法计算。详见下表：</w:t>
      </w:r>
    </w:p>
    <w:p w14:paraId="31F797D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color w:val="auto"/>
          <w:szCs w:val="28"/>
          <w:lang w:val="en-US" w:eastAsia="zh-CN"/>
        </w:rPr>
      </w:pPr>
      <w:r>
        <w:rPr>
          <w:rFonts w:hint="eastAsia"/>
          <w:color w:val="auto"/>
          <w:szCs w:val="28"/>
          <w:lang w:val="en-US" w:eastAsia="zh-CN"/>
        </w:rPr>
        <w:t>7.1-3  招标代理服务费计算标准</w:t>
      </w:r>
    </w:p>
    <w:p w14:paraId="22A155E2">
      <w:pPr>
        <w:bidi w:val="0"/>
        <w:rPr>
          <w:rFonts w:hint="default" w:eastAsia="宋体"/>
          <w:color w:val="auto"/>
          <w:szCs w:val="28"/>
          <w:lang w:val="en-US" w:eastAsia="zh-CN"/>
        </w:rPr>
      </w:pPr>
      <w:r>
        <w:rPr>
          <w:color w:val="auto"/>
        </w:rPr>
        <w:drawing>
          <wp:anchor distT="0" distB="0" distL="114300" distR="114300" simplePos="0" relativeHeight="251664384" behindDoc="0" locked="0" layoutInCell="1" allowOverlap="1">
            <wp:simplePos x="0" y="0"/>
            <wp:positionH relativeFrom="column">
              <wp:posOffset>182880</wp:posOffset>
            </wp:positionH>
            <wp:positionV relativeFrom="paragraph">
              <wp:posOffset>937260</wp:posOffset>
            </wp:positionV>
            <wp:extent cx="5730875" cy="1016635"/>
            <wp:effectExtent l="0" t="0" r="14605" b="4445"/>
            <wp:wrapSquare wrapText="bothSides"/>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4"/>
                    <pic:cNvPicPr>
                      <a:picLocks noChangeAspect="1"/>
                    </pic:cNvPicPr>
                  </pic:nvPicPr>
                  <pic:blipFill>
                    <a:blip r:embed="rId68"/>
                    <a:stretch>
                      <a:fillRect/>
                    </a:stretch>
                  </pic:blipFill>
                  <pic:spPr>
                    <a:xfrm>
                      <a:off x="0" y="0"/>
                      <a:ext cx="5730875" cy="1016635"/>
                    </a:xfrm>
                    <a:prstGeom prst="rect">
                      <a:avLst/>
                    </a:prstGeom>
                    <a:noFill/>
                    <a:ln>
                      <a:noFill/>
                    </a:ln>
                  </pic:spPr>
                </pic:pic>
              </a:graphicData>
            </a:graphic>
          </wp:anchor>
        </w:drawing>
      </w:r>
      <w:r>
        <w:rPr>
          <w:color w:val="auto"/>
        </w:rPr>
        <w:drawing>
          <wp:anchor distT="0" distB="0" distL="114300" distR="114300" simplePos="0" relativeHeight="251665408" behindDoc="0" locked="0" layoutInCell="1" allowOverlap="1">
            <wp:simplePos x="0" y="0"/>
            <wp:positionH relativeFrom="column">
              <wp:posOffset>175260</wp:posOffset>
            </wp:positionH>
            <wp:positionV relativeFrom="paragraph">
              <wp:posOffset>28575</wp:posOffset>
            </wp:positionV>
            <wp:extent cx="5724525" cy="1118235"/>
            <wp:effectExtent l="0" t="0" r="5715" b="9525"/>
            <wp:wrapSquare wrapText="bothSides"/>
            <wp:docPr id="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pic:cNvPicPr>
                      <a:picLocks noChangeAspect="1"/>
                    </pic:cNvPicPr>
                  </pic:nvPicPr>
                  <pic:blipFill>
                    <a:blip r:embed="rId69"/>
                    <a:stretch>
                      <a:fillRect/>
                    </a:stretch>
                  </pic:blipFill>
                  <pic:spPr>
                    <a:xfrm>
                      <a:off x="0" y="0"/>
                      <a:ext cx="5724525" cy="1118235"/>
                    </a:xfrm>
                    <a:prstGeom prst="rect">
                      <a:avLst/>
                    </a:prstGeom>
                    <a:noFill/>
                    <a:ln>
                      <a:noFill/>
                    </a:ln>
                  </pic:spPr>
                </pic:pic>
              </a:graphicData>
            </a:graphic>
          </wp:anchor>
        </w:drawing>
      </w:r>
      <w:r>
        <w:rPr>
          <w:color w:val="auto"/>
          <w:szCs w:val="28"/>
        </w:rPr>
        <w:t>（3）</w:t>
      </w:r>
      <w:r>
        <w:rPr>
          <w:rFonts w:hint="eastAsia"/>
          <w:color w:val="auto"/>
          <w:szCs w:val="28"/>
          <w:lang w:val="en-US" w:eastAsia="zh-CN"/>
        </w:rPr>
        <w:t>工程建设监理费</w:t>
      </w:r>
    </w:p>
    <w:p w14:paraId="522996E2">
      <w:pPr>
        <w:ind w:firstLine="560"/>
        <w:rPr>
          <w:rFonts w:hint="eastAsia"/>
          <w:color w:val="auto"/>
          <w:szCs w:val="28"/>
          <w:lang w:val="en-US" w:eastAsia="zh-CN"/>
        </w:rPr>
      </w:pPr>
      <w:r>
        <w:rPr>
          <w:rFonts w:hint="eastAsia"/>
          <w:color w:val="auto"/>
          <w:szCs w:val="28"/>
          <w:lang w:val="en-US" w:eastAsia="zh-CN"/>
        </w:rPr>
        <w:t>工程建设监理费以一至三部分建安工程费、设备费之和为计算基数。采用直线内插法计算。详见下表：</w:t>
      </w:r>
    </w:p>
    <w:p w14:paraId="255D7D3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color w:val="auto"/>
          <w:szCs w:val="28"/>
          <w:lang w:val="en-US" w:eastAsia="zh-CN"/>
        </w:rPr>
      </w:pPr>
      <w:r>
        <w:rPr>
          <w:rFonts w:hint="eastAsia"/>
          <w:color w:val="auto"/>
          <w:szCs w:val="28"/>
          <w:lang w:val="en-US" w:eastAsia="zh-CN"/>
        </w:rPr>
        <w:t>7.1-4  工程建设监理费计算标准</w:t>
      </w:r>
    </w:p>
    <w:p w14:paraId="3667AA04">
      <w:pPr>
        <w:ind w:firstLine="560"/>
        <w:rPr>
          <w:color w:val="auto"/>
          <w:szCs w:val="28"/>
        </w:rPr>
      </w:pPr>
      <w:r>
        <w:rPr>
          <w:color w:val="auto"/>
        </w:rPr>
        <w:drawing>
          <wp:anchor distT="0" distB="0" distL="114300" distR="114300" simplePos="0" relativeHeight="251666432" behindDoc="0" locked="0" layoutInCell="1" allowOverlap="1">
            <wp:simplePos x="0" y="0"/>
            <wp:positionH relativeFrom="column">
              <wp:posOffset>-11430</wp:posOffset>
            </wp:positionH>
            <wp:positionV relativeFrom="paragraph">
              <wp:posOffset>17780</wp:posOffset>
            </wp:positionV>
            <wp:extent cx="5730875" cy="1793240"/>
            <wp:effectExtent l="0" t="0" r="14605" b="5080"/>
            <wp:wrapSquare wrapText="bothSides"/>
            <wp:docPr id="1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5"/>
                    <pic:cNvPicPr>
                      <a:picLocks noChangeAspect="1"/>
                    </pic:cNvPicPr>
                  </pic:nvPicPr>
                  <pic:blipFill>
                    <a:blip r:embed="rId70"/>
                    <a:stretch>
                      <a:fillRect/>
                    </a:stretch>
                  </pic:blipFill>
                  <pic:spPr>
                    <a:xfrm>
                      <a:off x="0" y="0"/>
                      <a:ext cx="5730875" cy="1793240"/>
                    </a:xfrm>
                    <a:prstGeom prst="rect">
                      <a:avLst/>
                    </a:prstGeom>
                    <a:noFill/>
                    <a:ln>
                      <a:noFill/>
                    </a:ln>
                  </pic:spPr>
                </pic:pic>
              </a:graphicData>
            </a:graphic>
          </wp:anchor>
        </w:drawing>
      </w:r>
      <w:r>
        <w:rPr>
          <w:color w:val="auto"/>
          <w:szCs w:val="28"/>
        </w:rPr>
        <w:t>（</w:t>
      </w:r>
      <w:r>
        <w:rPr>
          <w:rFonts w:hint="eastAsia"/>
          <w:color w:val="auto"/>
          <w:szCs w:val="28"/>
        </w:rPr>
        <w:t>4</w:t>
      </w:r>
      <w:r>
        <w:rPr>
          <w:color w:val="auto"/>
          <w:szCs w:val="28"/>
        </w:rPr>
        <w:t>）</w:t>
      </w:r>
      <w:r>
        <w:rPr>
          <w:rFonts w:hint="eastAsia"/>
          <w:color w:val="auto"/>
          <w:szCs w:val="28"/>
          <w:lang w:val="en-US" w:eastAsia="zh-CN"/>
        </w:rPr>
        <w:t>经济技术咨询</w:t>
      </w:r>
      <w:r>
        <w:rPr>
          <w:color w:val="auto"/>
          <w:szCs w:val="28"/>
        </w:rPr>
        <w:t>费</w:t>
      </w:r>
    </w:p>
    <w:p w14:paraId="1248E37D">
      <w:pPr>
        <w:ind w:firstLine="560"/>
        <w:rPr>
          <w:rFonts w:hint="eastAsia"/>
          <w:color w:val="auto"/>
          <w:szCs w:val="28"/>
          <w:lang w:val="en-US" w:eastAsia="zh-CN"/>
        </w:rPr>
      </w:pPr>
      <w:r>
        <w:rPr>
          <w:rFonts w:hint="eastAsia"/>
          <w:color w:val="auto"/>
          <w:szCs w:val="28"/>
          <w:lang w:val="en-US" w:eastAsia="zh-CN"/>
        </w:rPr>
        <w:t>经济技术咨询</w:t>
      </w:r>
      <w:r>
        <w:rPr>
          <w:color w:val="auto"/>
          <w:szCs w:val="28"/>
        </w:rPr>
        <w:t>费</w:t>
      </w:r>
      <w:r>
        <w:rPr>
          <w:rFonts w:hint="eastAsia"/>
          <w:color w:val="auto"/>
          <w:szCs w:val="28"/>
          <w:lang w:val="en-US" w:eastAsia="zh-CN"/>
        </w:rPr>
        <w:t>以一至三部分建安工程费、设备费之和为计算基数。以差额定率累进法计算。详见下表：</w:t>
      </w:r>
    </w:p>
    <w:p w14:paraId="677F298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color w:val="auto"/>
          <w:szCs w:val="28"/>
          <w:lang w:val="en-US" w:eastAsia="zh-CN"/>
        </w:rPr>
      </w:pPr>
      <w:r>
        <w:rPr>
          <w:color w:val="auto"/>
        </w:rPr>
        <w:drawing>
          <wp:anchor distT="0" distB="0" distL="114300" distR="114300" simplePos="0" relativeHeight="251667456" behindDoc="0" locked="0" layoutInCell="1" allowOverlap="1">
            <wp:simplePos x="0" y="0"/>
            <wp:positionH relativeFrom="column">
              <wp:posOffset>80010</wp:posOffset>
            </wp:positionH>
            <wp:positionV relativeFrom="paragraph">
              <wp:posOffset>403860</wp:posOffset>
            </wp:positionV>
            <wp:extent cx="5730875" cy="2128520"/>
            <wp:effectExtent l="0" t="0" r="14605" b="5080"/>
            <wp:wrapSquare wrapText="bothSides"/>
            <wp:docPr id="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6"/>
                    <pic:cNvPicPr>
                      <a:picLocks noChangeAspect="1"/>
                    </pic:cNvPicPr>
                  </pic:nvPicPr>
                  <pic:blipFill>
                    <a:blip r:embed="rId71"/>
                    <a:stretch>
                      <a:fillRect/>
                    </a:stretch>
                  </pic:blipFill>
                  <pic:spPr>
                    <a:xfrm>
                      <a:off x="0" y="0"/>
                      <a:ext cx="5730875" cy="2128520"/>
                    </a:xfrm>
                    <a:prstGeom prst="rect">
                      <a:avLst/>
                    </a:prstGeom>
                    <a:noFill/>
                    <a:ln>
                      <a:noFill/>
                    </a:ln>
                  </pic:spPr>
                </pic:pic>
              </a:graphicData>
            </a:graphic>
          </wp:anchor>
        </w:drawing>
      </w:r>
      <w:r>
        <w:rPr>
          <w:rFonts w:hint="eastAsia"/>
          <w:color w:val="auto"/>
          <w:szCs w:val="28"/>
          <w:lang w:val="en-US" w:eastAsia="zh-CN"/>
        </w:rPr>
        <w:t>7.1-5  经济技术咨询费计算标准</w:t>
      </w:r>
    </w:p>
    <w:p w14:paraId="11363DFD">
      <w:pPr>
        <w:ind w:firstLine="560"/>
        <w:rPr>
          <w:color w:val="auto"/>
          <w:szCs w:val="28"/>
        </w:rPr>
      </w:pPr>
      <w:r>
        <w:rPr>
          <w:color w:val="auto"/>
          <w:szCs w:val="28"/>
        </w:rPr>
        <w:t>（</w:t>
      </w:r>
      <w:r>
        <w:rPr>
          <w:rFonts w:hint="eastAsia"/>
          <w:color w:val="auto"/>
          <w:szCs w:val="28"/>
          <w:lang w:val="en-US" w:eastAsia="zh-CN"/>
        </w:rPr>
        <w:t>5</w:t>
      </w:r>
      <w:r>
        <w:rPr>
          <w:color w:val="auto"/>
          <w:szCs w:val="28"/>
        </w:rPr>
        <w:t>）</w:t>
      </w:r>
      <w:r>
        <w:rPr>
          <w:rFonts w:hint="eastAsia"/>
          <w:color w:val="auto"/>
          <w:szCs w:val="28"/>
          <w:lang w:val="en-US" w:eastAsia="zh-CN"/>
        </w:rPr>
        <w:t>勘察设计</w:t>
      </w:r>
      <w:r>
        <w:rPr>
          <w:rFonts w:hint="eastAsia"/>
          <w:color w:val="auto"/>
          <w:szCs w:val="28"/>
        </w:rPr>
        <w:t>费</w:t>
      </w:r>
    </w:p>
    <w:p w14:paraId="2B950846">
      <w:pPr>
        <w:ind w:firstLine="560"/>
        <w:rPr>
          <w:rFonts w:hint="eastAsia"/>
          <w:color w:val="auto"/>
          <w:szCs w:val="28"/>
          <w:lang w:val="en-US" w:eastAsia="zh-CN"/>
        </w:rPr>
      </w:pPr>
      <w:r>
        <w:rPr>
          <w:rFonts w:hint="eastAsia"/>
          <w:color w:val="auto"/>
          <w:szCs w:val="28"/>
          <w:lang w:val="en-US" w:eastAsia="zh-CN"/>
        </w:rPr>
        <w:t>勘察设计</w:t>
      </w:r>
      <w:r>
        <w:rPr>
          <w:rFonts w:hint="eastAsia"/>
          <w:color w:val="auto"/>
          <w:szCs w:val="28"/>
        </w:rPr>
        <w:t>费</w:t>
      </w:r>
      <w:r>
        <w:rPr>
          <w:rFonts w:hint="eastAsia"/>
          <w:color w:val="auto"/>
          <w:szCs w:val="28"/>
          <w:lang w:val="en-US" w:eastAsia="zh-CN"/>
        </w:rPr>
        <w:t>以一至三部分建安工程费、设备费之和为计算基数。采用直线内插法计算。详见下表：</w:t>
      </w:r>
    </w:p>
    <w:p w14:paraId="71AF769A">
      <w:pPr>
        <w:ind w:firstLine="560"/>
        <w:jc w:val="center"/>
        <w:rPr>
          <w:rFonts w:hint="eastAsia"/>
          <w:color w:val="auto"/>
          <w:szCs w:val="28"/>
          <w:lang w:val="en-US" w:eastAsia="zh-CN"/>
        </w:rPr>
      </w:pPr>
    </w:p>
    <w:p w14:paraId="6F804341">
      <w:pPr>
        <w:ind w:firstLine="560"/>
        <w:jc w:val="center"/>
        <w:rPr>
          <w:rFonts w:hint="eastAsia"/>
          <w:color w:val="auto"/>
          <w:szCs w:val="28"/>
          <w:lang w:val="en-US" w:eastAsia="zh-CN"/>
        </w:rPr>
      </w:pPr>
    </w:p>
    <w:p w14:paraId="0B07BE8C">
      <w:pPr>
        <w:ind w:firstLine="560"/>
        <w:jc w:val="center"/>
        <w:rPr>
          <w:rFonts w:hint="eastAsia"/>
          <w:color w:val="auto"/>
          <w:szCs w:val="28"/>
          <w:lang w:val="en-US" w:eastAsia="zh-CN"/>
        </w:rPr>
      </w:pPr>
    </w:p>
    <w:p w14:paraId="49680506">
      <w:pPr>
        <w:ind w:firstLine="560"/>
        <w:jc w:val="center"/>
        <w:rPr>
          <w:rFonts w:hint="eastAsia"/>
          <w:color w:val="auto"/>
          <w:szCs w:val="28"/>
          <w:lang w:val="en-US" w:eastAsia="zh-CN"/>
        </w:rPr>
      </w:pPr>
    </w:p>
    <w:p w14:paraId="1C03866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color w:val="auto"/>
          <w:szCs w:val="28"/>
          <w:lang w:val="en-US" w:eastAsia="zh-CN"/>
        </w:rPr>
      </w:pPr>
      <w:r>
        <w:rPr>
          <w:color w:val="auto"/>
        </w:rPr>
        <w:drawing>
          <wp:anchor distT="0" distB="0" distL="114300" distR="114300" simplePos="0" relativeHeight="251668480" behindDoc="0" locked="0" layoutInCell="1" allowOverlap="1">
            <wp:simplePos x="0" y="0"/>
            <wp:positionH relativeFrom="column">
              <wp:posOffset>232410</wp:posOffset>
            </wp:positionH>
            <wp:positionV relativeFrom="paragraph">
              <wp:posOffset>327025</wp:posOffset>
            </wp:positionV>
            <wp:extent cx="5725795" cy="1811020"/>
            <wp:effectExtent l="0" t="0" r="4445" b="2540"/>
            <wp:wrapNone/>
            <wp:docPr id="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7"/>
                    <pic:cNvPicPr>
                      <a:picLocks noChangeAspect="1"/>
                    </pic:cNvPicPr>
                  </pic:nvPicPr>
                  <pic:blipFill>
                    <a:blip r:embed="rId72"/>
                    <a:stretch>
                      <a:fillRect/>
                    </a:stretch>
                  </pic:blipFill>
                  <pic:spPr>
                    <a:xfrm>
                      <a:off x="0" y="0"/>
                      <a:ext cx="5725795" cy="1811020"/>
                    </a:xfrm>
                    <a:prstGeom prst="rect">
                      <a:avLst/>
                    </a:prstGeom>
                    <a:noFill/>
                    <a:ln>
                      <a:noFill/>
                    </a:ln>
                  </pic:spPr>
                </pic:pic>
              </a:graphicData>
            </a:graphic>
          </wp:anchor>
        </w:drawing>
      </w:r>
      <w:r>
        <w:rPr>
          <w:rFonts w:hint="eastAsia"/>
          <w:color w:val="auto"/>
          <w:szCs w:val="28"/>
          <w:lang w:val="en-US" w:eastAsia="zh-CN"/>
        </w:rPr>
        <w:t>7.1-6  勘察费计算标准</w:t>
      </w:r>
    </w:p>
    <w:p w14:paraId="2FE4054E">
      <w:pPr>
        <w:ind w:firstLine="560"/>
        <w:jc w:val="center"/>
        <w:rPr>
          <w:rFonts w:hint="eastAsia"/>
          <w:color w:val="auto"/>
          <w:szCs w:val="28"/>
          <w:lang w:val="en-US" w:eastAsia="zh-CN"/>
        </w:rPr>
      </w:pPr>
    </w:p>
    <w:p w14:paraId="4A9A072B">
      <w:pPr>
        <w:ind w:firstLine="560"/>
        <w:jc w:val="center"/>
        <w:rPr>
          <w:rFonts w:hint="eastAsia"/>
          <w:color w:val="auto"/>
          <w:szCs w:val="28"/>
          <w:lang w:val="en-US" w:eastAsia="zh-CN"/>
        </w:rPr>
      </w:pPr>
    </w:p>
    <w:p w14:paraId="6C6460E0">
      <w:pPr>
        <w:ind w:firstLine="560"/>
        <w:jc w:val="center"/>
        <w:rPr>
          <w:rFonts w:hint="eastAsia"/>
          <w:color w:val="auto"/>
          <w:szCs w:val="28"/>
          <w:lang w:val="en-US" w:eastAsia="zh-CN"/>
        </w:rPr>
      </w:pPr>
    </w:p>
    <w:p w14:paraId="26571FD1">
      <w:pPr>
        <w:ind w:firstLine="560"/>
        <w:jc w:val="center"/>
        <w:rPr>
          <w:rFonts w:hint="eastAsia"/>
          <w:color w:val="auto"/>
          <w:szCs w:val="28"/>
          <w:lang w:val="en-US" w:eastAsia="zh-CN"/>
        </w:rPr>
      </w:pPr>
    </w:p>
    <w:p w14:paraId="05CA9F17">
      <w:pPr>
        <w:ind w:firstLine="560"/>
        <w:jc w:val="center"/>
        <w:rPr>
          <w:rFonts w:hint="eastAsia"/>
          <w:color w:val="auto"/>
          <w:szCs w:val="28"/>
          <w:lang w:val="en-US" w:eastAsia="zh-CN"/>
        </w:rPr>
      </w:pPr>
    </w:p>
    <w:p w14:paraId="5391F8C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color w:val="auto"/>
          <w:lang w:val="en-US" w:eastAsia="zh-CN"/>
        </w:rPr>
      </w:pPr>
      <w:r>
        <w:rPr>
          <w:rFonts w:hint="eastAsia"/>
          <w:color w:val="auto"/>
          <w:lang w:val="en-US" w:eastAsia="zh-CN"/>
        </w:rPr>
        <w:t>7.1-7  设计费计算标准</w:t>
      </w:r>
    </w:p>
    <w:p w14:paraId="007FF43C">
      <w:pPr>
        <w:numPr>
          <w:ilvl w:val="0"/>
          <w:numId w:val="2"/>
        </w:numPr>
        <w:ind w:firstLine="560"/>
        <w:rPr>
          <w:rFonts w:hint="eastAsia"/>
          <w:color w:val="auto"/>
          <w:szCs w:val="28"/>
          <w:lang w:val="en-US" w:eastAsia="zh-CN"/>
        </w:rPr>
      </w:pPr>
      <w:r>
        <w:rPr>
          <w:color w:val="auto"/>
        </w:rPr>
        <w:drawing>
          <wp:anchor distT="0" distB="0" distL="114300" distR="114300" simplePos="0" relativeHeight="251669504" behindDoc="0" locked="0" layoutInCell="1" allowOverlap="1">
            <wp:simplePos x="0" y="0"/>
            <wp:positionH relativeFrom="column">
              <wp:posOffset>224790</wp:posOffset>
            </wp:positionH>
            <wp:positionV relativeFrom="paragraph">
              <wp:posOffset>34925</wp:posOffset>
            </wp:positionV>
            <wp:extent cx="5726430" cy="1747520"/>
            <wp:effectExtent l="0" t="0" r="3810" b="5080"/>
            <wp:wrapSquare wrapText="bothSides"/>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8"/>
                    <pic:cNvPicPr>
                      <a:picLocks noChangeAspect="1"/>
                    </pic:cNvPicPr>
                  </pic:nvPicPr>
                  <pic:blipFill>
                    <a:blip r:embed="rId73"/>
                    <a:stretch>
                      <a:fillRect/>
                    </a:stretch>
                  </pic:blipFill>
                  <pic:spPr>
                    <a:xfrm>
                      <a:off x="0" y="0"/>
                      <a:ext cx="5726430" cy="1747520"/>
                    </a:xfrm>
                    <a:prstGeom prst="rect">
                      <a:avLst/>
                    </a:prstGeom>
                    <a:noFill/>
                    <a:ln>
                      <a:noFill/>
                    </a:ln>
                  </pic:spPr>
                </pic:pic>
              </a:graphicData>
            </a:graphic>
          </wp:anchor>
        </w:drawing>
      </w:r>
      <w:r>
        <w:rPr>
          <w:rFonts w:hint="eastAsia"/>
          <w:color w:val="auto"/>
          <w:szCs w:val="28"/>
          <w:lang w:val="en-US" w:eastAsia="zh-CN"/>
        </w:rPr>
        <w:t>基本预备费</w:t>
      </w:r>
    </w:p>
    <w:p w14:paraId="7F50EE1F">
      <w:pPr>
        <w:ind w:firstLine="560"/>
        <w:rPr>
          <w:rFonts w:hint="default"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lang w:val="en-US" w:eastAsia="zh-CN"/>
        </w:rPr>
        <w:t>基本预备费按工程一至四部分投资合计的1%计算。</w:t>
      </w:r>
    </w:p>
    <w:p w14:paraId="79C5585D">
      <w:pPr>
        <w:pStyle w:val="3"/>
        <w:bidi w:val="0"/>
      </w:pPr>
      <w:bookmarkStart w:id="178" w:name="_Toc29387"/>
      <w:bookmarkStart w:id="179" w:name="_Toc21764"/>
      <w:bookmarkStart w:id="180" w:name="_Toc27824_WPSOffice_Level1"/>
      <w:bookmarkStart w:id="181" w:name="_Toc13267"/>
      <w:bookmarkStart w:id="182" w:name="_Toc17221_WPSOffice_Level1"/>
      <w:bookmarkStart w:id="183" w:name="_Toc20761"/>
      <w:bookmarkStart w:id="184" w:name="_Toc27160"/>
      <w:bookmarkStart w:id="185" w:name="_Toc17023"/>
      <w:bookmarkStart w:id="186" w:name="_Toc226"/>
      <w:bookmarkStart w:id="187" w:name="_Toc4133"/>
      <w:bookmarkStart w:id="188" w:name="_Toc27203"/>
      <w:r>
        <w:rPr>
          <w:rFonts w:hint="eastAsia"/>
          <w:lang w:val="en-US" w:eastAsia="zh-CN"/>
        </w:rPr>
        <w:t>7.2 投资</w:t>
      </w:r>
      <w:r>
        <w:rPr>
          <w:rFonts w:hint="eastAsia"/>
          <w:lang w:eastAsia="zh-CN"/>
        </w:rPr>
        <w:t>概算</w:t>
      </w:r>
      <w:bookmarkEnd w:id="178"/>
      <w:bookmarkEnd w:id="179"/>
      <w:bookmarkEnd w:id="180"/>
      <w:bookmarkEnd w:id="181"/>
      <w:bookmarkEnd w:id="182"/>
      <w:bookmarkEnd w:id="183"/>
      <w:bookmarkEnd w:id="184"/>
      <w:bookmarkEnd w:id="185"/>
      <w:bookmarkEnd w:id="186"/>
      <w:bookmarkEnd w:id="187"/>
      <w:bookmarkEnd w:id="188"/>
    </w:p>
    <w:p w14:paraId="6966AF29">
      <w:pPr>
        <w:spacing w:after="0" w:line="360" w:lineRule="auto"/>
        <w:ind w:firstLine="480" w:firstLineChars="200"/>
        <w:rPr>
          <w:rFonts w:hint="eastAsia"/>
          <w:lang w:val="en-US" w:eastAsia="zh-CN"/>
        </w:rPr>
      </w:pPr>
      <w:bookmarkStart w:id="189" w:name="_Toc26336_WPSOffice_Level2"/>
      <w:r>
        <w:rPr>
          <w:rFonts w:hint="eastAsia" w:ascii="Times New Roman" w:hAnsi="Times New Roman" w:eastAsia="宋体" w:cs="Times New Roman"/>
          <w:color w:val="auto"/>
          <w:szCs w:val="28"/>
          <w:lang w:eastAsia="zh-CN"/>
        </w:rPr>
        <w:t>本项目投资概算总额为：</w:t>
      </w:r>
      <w:r>
        <w:rPr>
          <w:rFonts w:hint="eastAsia" w:ascii="Times New Roman" w:hAnsi="Times New Roman" w:eastAsia="宋体" w:cs="Times New Roman"/>
          <w:color w:val="auto"/>
          <w:szCs w:val="28"/>
          <w:lang w:val="en-US" w:eastAsia="zh-CN"/>
        </w:rPr>
        <w:t>54.59</w:t>
      </w:r>
      <w:r>
        <w:rPr>
          <w:rFonts w:hint="eastAsia" w:ascii="Times New Roman" w:hAnsi="Times New Roman" w:eastAsia="宋体" w:cs="Times New Roman"/>
          <w:color w:val="auto"/>
          <w:szCs w:val="28"/>
          <w:lang w:eastAsia="zh-CN"/>
        </w:rPr>
        <w:t>万元，其中：建筑工程费49.65万元</w:t>
      </w:r>
      <w:r>
        <w:rPr>
          <w:rFonts w:hint="eastAsia" w:ascii="Times New Roman" w:hAnsi="Times New Roman" w:eastAsia="宋体" w:cs="Times New Roman"/>
          <w:color w:val="auto"/>
          <w:szCs w:val="28"/>
          <w:lang w:val="en-US" w:eastAsia="zh-CN"/>
        </w:rPr>
        <w:t>，</w:t>
      </w:r>
      <w:r>
        <w:rPr>
          <w:rFonts w:hint="eastAsia" w:ascii="Times New Roman" w:hAnsi="Times New Roman" w:eastAsia="宋体" w:cs="Times New Roman"/>
          <w:color w:val="auto"/>
          <w:szCs w:val="28"/>
          <w:lang w:eastAsia="zh-CN"/>
        </w:rPr>
        <w:t>独立费</w:t>
      </w:r>
      <w:r>
        <w:rPr>
          <w:rFonts w:hint="eastAsia" w:ascii="Times New Roman" w:hAnsi="Times New Roman" w:eastAsia="宋体" w:cs="Times New Roman"/>
          <w:color w:val="auto"/>
          <w:szCs w:val="28"/>
          <w:lang w:val="en-US" w:eastAsia="zh-CN"/>
        </w:rPr>
        <w:t>4.40</w:t>
      </w:r>
      <w:r>
        <w:rPr>
          <w:rFonts w:hint="eastAsia" w:ascii="Times New Roman" w:hAnsi="Times New Roman" w:eastAsia="宋体" w:cs="Times New Roman"/>
          <w:color w:val="auto"/>
          <w:szCs w:val="28"/>
          <w:lang w:eastAsia="zh-CN"/>
        </w:rPr>
        <w:t>万元（其中</w:t>
      </w:r>
      <w:r>
        <w:rPr>
          <w:rFonts w:hint="eastAsia" w:ascii="Times New Roman" w:hAnsi="Times New Roman" w:eastAsia="宋体" w:cs="Times New Roman"/>
          <w:color w:val="auto"/>
          <w:szCs w:val="28"/>
          <w:lang w:val="en-US" w:eastAsia="zh-CN"/>
        </w:rPr>
        <w:t>项目监理费0.99万元、经济技术咨询费0.5万元、勘察设计费1.94万元、其他0.97万元</w:t>
      </w:r>
      <w:r>
        <w:rPr>
          <w:rFonts w:hint="eastAsia" w:ascii="Times New Roman" w:hAnsi="Times New Roman" w:eastAsia="宋体" w:cs="Times New Roman"/>
          <w:color w:val="auto"/>
          <w:szCs w:val="28"/>
          <w:lang w:eastAsia="zh-CN"/>
        </w:rPr>
        <w:t>），基本预备费</w:t>
      </w:r>
      <w:r>
        <w:rPr>
          <w:rFonts w:hint="eastAsia" w:ascii="Times New Roman" w:hAnsi="Times New Roman" w:eastAsia="宋体" w:cs="Times New Roman"/>
          <w:color w:val="auto"/>
          <w:szCs w:val="28"/>
          <w:lang w:val="en-US" w:eastAsia="zh-CN"/>
        </w:rPr>
        <w:t>0.54万元</w:t>
      </w:r>
      <w:r>
        <w:rPr>
          <w:rFonts w:hint="eastAsia"/>
          <w:lang w:val="en-US" w:eastAsia="zh-CN"/>
        </w:rPr>
        <w:t>。</w:t>
      </w:r>
    </w:p>
    <w:p w14:paraId="14AD5D1D">
      <w:pPr>
        <w:rPr>
          <w:rFonts w:hint="eastAsia"/>
          <w:lang w:val="en-US" w:eastAsia="zh-CN"/>
        </w:rPr>
      </w:pPr>
      <w:r>
        <w:rPr>
          <w:rFonts w:hint="eastAsia"/>
          <w:lang w:val="en-US" w:eastAsia="zh-CN"/>
        </w:rPr>
        <w:br w:type="page"/>
      </w:r>
    </w:p>
    <w:p w14:paraId="075151E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rPr>
      </w:pPr>
      <w:r>
        <w:rPr>
          <w:rFonts w:hint="eastAsia"/>
          <w:lang w:val="en-US" w:eastAsia="zh-CN"/>
        </w:rPr>
        <w:t xml:space="preserve">表7.2-1 </w:t>
      </w:r>
      <w:r>
        <w:rPr>
          <w:rFonts w:hint="eastAsia"/>
        </w:rPr>
        <w:t>项目投资情况明细表</w:t>
      </w:r>
      <w:bookmarkEnd w:id="189"/>
    </w:p>
    <w:tbl>
      <w:tblPr>
        <w:tblStyle w:val="17"/>
        <w:tblW w:w="8772"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60"/>
        <w:gridCol w:w="3006"/>
        <w:gridCol w:w="959"/>
        <w:gridCol w:w="959"/>
        <w:gridCol w:w="959"/>
        <w:gridCol w:w="959"/>
        <w:gridCol w:w="970"/>
      </w:tblGrid>
      <w:tr w14:paraId="02FF15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145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bookmarkStart w:id="190" w:name="_Toc13552"/>
            <w:bookmarkStart w:id="191" w:name="_Toc32357"/>
            <w:bookmarkStart w:id="192" w:name="_Toc5200"/>
            <w:bookmarkStart w:id="193" w:name="_Toc24936"/>
            <w:bookmarkStart w:id="194" w:name="_Toc6685"/>
            <w:bookmarkStart w:id="195" w:name="_Toc32585_WPSOffice_Level1"/>
            <w:bookmarkStart w:id="196" w:name="_Toc22369_WPSOffice_Level1"/>
            <w:bookmarkStart w:id="197" w:name="_Toc9590"/>
            <w:bookmarkStart w:id="198" w:name="_Toc14848"/>
            <w:bookmarkStart w:id="199" w:name="_Toc5320"/>
            <w:r>
              <w:rPr>
                <w:rFonts w:hint="eastAsia" w:ascii="宋体" w:hAnsi="宋体" w:eastAsia="宋体" w:cs="宋体"/>
                <w:i w:val="0"/>
                <w:iCs w:val="0"/>
                <w:color w:val="000000"/>
                <w:kern w:val="0"/>
                <w:sz w:val="21"/>
                <w:szCs w:val="21"/>
                <w:u w:val="none"/>
                <w:lang w:val="en-US" w:eastAsia="zh-CN" w:bidi="ar"/>
              </w:rPr>
              <w:t>编号</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EEF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工程或费用名称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B1D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建安工程费（万元）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88C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设备费（万元）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DD0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独立费用（万元）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F0B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合计（万元）</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F41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占一至六部分投资比例</w:t>
            </w:r>
            <w:r>
              <w:rPr>
                <w:rFonts w:hint="default" w:ascii="Times New Roman" w:hAnsi="Times New Roman" w:eastAsia="宋体" w:cs="Times New Roman"/>
                <w:i w:val="0"/>
                <w:iCs w:val="0"/>
                <w:color w:val="000000"/>
                <w:kern w:val="0"/>
                <w:sz w:val="21"/>
                <w:szCs w:val="21"/>
                <w:u w:val="none"/>
                <w:lang w:val="en-US" w:eastAsia="zh-CN" w:bidi="ar"/>
              </w:rPr>
              <w:t>/%</w:t>
            </w:r>
          </w:p>
        </w:tc>
      </w:tr>
      <w:tr w14:paraId="17DDC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AA29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8A7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工程部分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F0B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B64D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C6A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DCEA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CF58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r>
      <w:tr w14:paraId="15BF2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AA7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48A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第一部分 建筑工程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93C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1169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73D0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51F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945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90.95%</w:t>
            </w:r>
          </w:p>
        </w:tc>
      </w:tr>
      <w:tr w14:paraId="5193A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C20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二</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29C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第二部分 设备及安装工程</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F5A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4A08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3752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0935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D75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14:paraId="2C53C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699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4C7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第三部分 施工临时工程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47F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4F9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6824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7EC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CAC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0.00%</w:t>
            </w:r>
          </w:p>
        </w:tc>
      </w:tr>
      <w:tr w14:paraId="17540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894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44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第四部分 独立费用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9D1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36E4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057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5D9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089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8.06%</w:t>
            </w:r>
          </w:p>
        </w:tc>
      </w:tr>
      <w:tr w14:paraId="45970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A71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3B3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项目监理费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5B9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869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13A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B98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68B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1.81%</w:t>
            </w:r>
          </w:p>
        </w:tc>
      </w:tr>
      <w:tr w14:paraId="50687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FCB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542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经济技术咨询费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121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BC03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5BE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BD6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C22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0.92%</w:t>
            </w:r>
          </w:p>
        </w:tc>
      </w:tr>
      <w:tr w14:paraId="579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4DE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C2D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勘察设计费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46F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FA9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FA8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7A9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BB7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3.55%</w:t>
            </w:r>
          </w:p>
        </w:tc>
      </w:tr>
      <w:tr w14:paraId="4BA3B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B00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D44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其他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57F9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218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59D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5AF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0CF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1.78%</w:t>
            </w:r>
          </w:p>
        </w:tc>
      </w:tr>
      <w:tr w14:paraId="514CA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583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五</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3C5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一至四部分投资合计</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192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49.65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DE2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866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695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069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99.01%</w:t>
            </w:r>
          </w:p>
        </w:tc>
      </w:tr>
      <w:tr w14:paraId="6E35E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AC7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六</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E9B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基本预备费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089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80B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8839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C01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780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0.99%</w:t>
            </w:r>
          </w:p>
        </w:tc>
      </w:tr>
      <w:tr w14:paraId="0C88A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AA4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七</w:t>
            </w:r>
          </w:p>
        </w:tc>
        <w:tc>
          <w:tcPr>
            <w:tcW w:w="30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275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总投资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58A6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C51D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42A9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sz w:val="21"/>
                <w:szCs w:val="21"/>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938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54.59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A2C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100.00%</w:t>
            </w:r>
          </w:p>
        </w:tc>
      </w:tr>
    </w:tbl>
    <w:p w14:paraId="407DF0A5">
      <w:pPr>
        <w:pStyle w:val="3"/>
        <w:bidi w:val="0"/>
        <w:rPr>
          <w:rFonts w:hint="default" w:eastAsia="黑体"/>
          <w:lang w:val="en-US" w:eastAsia="zh-CN"/>
        </w:rPr>
      </w:pPr>
      <w:bookmarkStart w:id="200" w:name="_Toc29445"/>
      <w:r>
        <w:rPr>
          <w:rFonts w:hint="eastAsia"/>
          <w:lang w:val="en-US" w:eastAsia="zh-CN"/>
        </w:rPr>
        <w:t xml:space="preserve">7.3 </w:t>
      </w:r>
      <w:bookmarkEnd w:id="190"/>
      <w:bookmarkEnd w:id="191"/>
      <w:bookmarkEnd w:id="192"/>
      <w:bookmarkEnd w:id="193"/>
      <w:bookmarkEnd w:id="194"/>
      <w:bookmarkEnd w:id="195"/>
      <w:bookmarkEnd w:id="196"/>
      <w:bookmarkEnd w:id="197"/>
      <w:bookmarkEnd w:id="198"/>
      <w:bookmarkEnd w:id="199"/>
      <w:r>
        <w:rPr>
          <w:rFonts w:hint="eastAsia"/>
          <w:lang w:val="en-US" w:eastAsia="zh-CN"/>
        </w:rPr>
        <w:t>资金筹措</w:t>
      </w:r>
      <w:bookmarkEnd w:id="200"/>
    </w:p>
    <w:p w14:paraId="12A1808C">
      <w:pPr>
        <w:spacing w:after="0" w:line="360" w:lineRule="auto"/>
        <w:ind w:firstLine="480" w:firstLineChars="200"/>
        <w:rPr>
          <w:rFonts w:ascii="Times New Roman" w:hAnsi="Times New Roman" w:cs="Times New Roman"/>
          <w:color w:val="auto"/>
          <w:highlight w:val="none"/>
          <w:lang w:eastAsia="zh-CN"/>
        </w:rPr>
        <w:sectPr>
          <w:pgSz w:w="11920" w:h="16840"/>
          <w:pgMar w:top="1418" w:right="1418" w:bottom="1418" w:left="1418" w:header="1304" w:footer="1020" w:gutter="0"/>
          <w:pgBorders>
            <w:top w:val="none" w:sz="0" w:space="0"/>
            <w:left w:val="none" w:sz="0" w:space="0"/>
            <w:bottom w:val="none" w:sz="0" w:space="0"/>
            <w:right w:val="none" w:sz="0" w:space="0"/>
          </w:pgBorders>
          <w:pgNumType w:fmt="decimal"/>
          <w:cols w:space="720" w:num="1"/>
          <w:docGrid w:linePitch="299" w:charSpace="0"/>
        </w:sectPr>
      </w:pPr>
      <w:r>
        <w:rPr>
          <w:rFonts w:hint="eastAsia"/>
          <w:color w:val="auto"/>
          <w:szCs w:val="28"/>
          <w:lang w:eastAsia="zh-CN"/>
        </w:rPr>
        <w:t>全部为全部为江西省统筹整合高标准农田建设专项资金</w:t>
      </w:r>
      <w:r>
        <w:rPr>
          <w:rFonts w:hint="eastAsia"/>
          <w:color w:val="auto"/>
          <w:szCs w:val="28"/>
          <w:lang w:val="en-US" w:eastAsia="zh-CN"/>
        </w:rPr>
        <w:t>及市、区配套资金</w:t>
      </w:r>
      <w:r>
        <w:rPr>
          <w:rFonts w:ascii="Times New Roman" w:hAnsi="Times New Roman"/>
          <w:color w:val="auto"/>
          <w:sz w:val="24"/>
          <w:szCs w:val="24"/>
          <w:highlight w:val="none"/>
          <w:lang w:eastAsia="zh-CN"/>
        </w:rPr>
        <w:t>。</w:t>
      </w:r>
    </w:p>
    <w:p w14:paraId="7502D951">
      <w:pPr>
        <w:pStyle w:val="2"/>
        <w:bidi w:val="0"/>
        <w:rPr>
          <w:rFonts w:hint="eastAsia"/>
          <w:lang w:val="en-US" w:eastAsia="zh-CN"/>
        </w:rPr>
      </w:pPr>
      <w:bookmarkStart w:id="201" w:name="_Toc16192"/>
      <w:r>
        <w:rPr>
          <w:rFonts w:hint="eastAsia"/>
          <w:lang w:val="en-US" w:eastAsia="zh-CN"/>
        </w:rPr>
        <w:t>第八章  效益分析</w:t>
      </w:r>
      <w:bookmarkEnd w:id="201"/>
    </w:p>
    <w:p w14:paraId="748AA98F">
      <w:pPr>
        <w:pStyle w:val="3"/>
        <w:bidi w:val="0"/>
      </w:pPr>
      <w:bookmarkStart w:id="202" w:name="_Toc5129"/>
      <w:r>
        <w:rPr>
          <w:rFonts w:hint="eastAsia"/>
          <w:lang w:val="en-US" w:eastAsia="zh-CN"/>
        </w:rPr>
        <w:t xml:space="preserve">8.1 </w:t>
      </w:r>
      <w:r>
        <w:t>农业生产条件改善及生态环境效益</w:t>
      </w:r>
      <w:bookmarkEnd w:id="202"/>
    </w:p>
    <w:p w14:paraId="50214883">
      <w:pPr>
        <w:bidi w:val="0"/>
        <w:rPr>
          <w:lang w:val="zh-CN"/>
        </w:rPr>
      </w:pPr>
      <w:r>
        <w:rPr>
          <w:lang w:val="zh-CN"/>
        </w:rPr>
        <w:t>本项目实施后，通过对水利基础设施改造，完善灌溉系统和合理的灌溉制度，有效增加蓄水量，提高水资源的利用率；通过土地平整、保护性耕作与生态环境保护与建设，减少地表径流，可有效控制项目区坡地的水土流失，促进和保持各农业生态系统间的良性循环，降低区域内面源污染，改善水环境；通过土壤改良和绿色示范等措施，能改善项目区土壤结构性状，促进农田生态良性循环，对维护和改善项目区内生物多样性，发展多种作物种植起到积极影响；项目建设促进田水山林湖的和谐，高标准农田构建出集中连片、层次分明的农田景观效果。</w:t>
      </w:r>
    </w:p>
    <w:p w14:paraId="066B793E">
      <w:pPr>
        <w:pStyle w:val="4"/>
        <w:bidi w:val="0"/>
        <w:rPr>
          <w:rFonts w:ascii="Times New Roman" w:hAnsi="Times New Roman" w:cs="Times New Roman"/>
          <w:color w:val="auto"/>
          <w:sz w:val="24"/>
          <w:szCs w:val="24"/>
          <w:highlight w:val="none"/>
          <w:lang w:val="zh-CN" w:eastAsia="zh-CN"/>
        </w:rPr>
      </w:pPr>
      <w:r>
        <w:rPr>
          <w:rFonts w:hint="eastAsia" w:cs="Times New Roman"/>
          <w:color w:val="auto"/>
          <w:sz w:val="24"/>
          <w:szCs w:val="24"/>
          <w:highlight w:val="none"/>
          <w:lang w:val="en-US" w:eastAsia="zh-CN"/>
        </w:rPr>
        <w:t>8</w:t>
      </w:r>
      <w:r>
        <w:rPr>
          <w:rFonts w:hint="eastAsia" w:ascii="Times New Roman" w:hAnsi="Times New Roman" w:cs="Times New Roman"/>
          <w:color w:val="auto"/>
          <w:sz w:val="24"/>
          <w:szCs w:val="24"/>
          <w:highlight w:val="none"/>
          <w:lang w:val="en-US" w:eastAsia="zh-CN"/>
        </w:rPr>
        <w:t>.1.1</w:t>
      </w:r>
      <w:r>
        <w:rPr>
          <w:rFonts w:ascii="Times New Roman" w:hAnsi="Times New Roman" w:cs="Times New Roman"/>
          <w:color w:val="auto"/>
          <w:sz w:val="24"/>
          <w:szCs w:val="24"/>
          <w:highlight w:val="none"/>
          <w:lang w:val="zh-CN" w:eastAsia="zh-CN"/>
        </w:rPr>
        <w:t>项目生态环境影响分析</w:t>
      </w:r>
    </w:p>
    <w:p w14:paraId="348958B0">
      <w:pPr>
        <w:bidi w:val="0"/>
        <w:rPr>
          <w:lang w:val="zh-CN" w:eastAsia="zh-CN"/>
        </w:rPr>
      </w:pPr>
      <w:r>
        <w:rPr>
          <w:rFonts w:hint="eastAsia"/>
          <w:lang w:val="zh-CN" w:eastAsia="zh-CN"/>
        </w:rPr>
        <w:t>（</w:t>
      </w:r>
      <w:r>
        <w:rPr>
          <w:rFonts w:hint="eastAsia"/>
          <w:lang w:val="en-US" w:eastAsia="zh-CN"/>
        </w:rPr>
        <w:t>1</w:t>
      </w:r>
      <w:r>
        <w:rPr>
          <w:rFonts w:hint="eastAsia"/>
          <w:lang w:val="zh-CN" w:eastAsia="zh-CN"/>
        </w:rPr>
        <w:t>）</w:t>
      </w:r>
      <w:r>
        <w:rPr>
          <w:lang w:val="zh-CN" w:eastAsia="zh-CN"/>
        </w:rPr>
        <w:t>对水环境系统的影响</w:t>
      </w:r>
    </w:p>
    <w:p w14:paraId="1B815CCF">
      <w:pPr>
        <w:bidi w:val="0"/>
        <w:rPr>
          <w:lang w:val="zh-CN" w:eastAsia="zh-CN"/>
        </w:rPr>
      </w:pPr>
      <w:r>
        <w:rPr>
          <w:lang w:val="zh-CN" w:eastAsia="zh-CN"/>
        </w:rPr>
        <w:t>农田灌溉工程中大面积混凝土渠道的修建，造成渠道无法贮存水分、并中断与地下水之间的补给联系； 增加耕地会相应增加区域水资源需求量，使农业用水与区域生态用水之间出现矛盾，因此对区域水资源分配造成一定的影响；工程施工期内生产污水和生活污水排放的增加，对整理区内部水环境质量产生一定的污染，影响流域下游的农田灌溉和居民用水；运营期灌溉水利用系数增大，农业用水量相对减少，水环境面源污染总量减少，区域生态用水相对增加，水资源分配更协调。</w:t>
      </w:r>
    </w:p>
    <w:p w14:paraId="541A8163">
      <w:pPr>
        <w:bidi w:val="0"/>
        <w:rPr>
          <w:lang w:val="zh-CN" w:eastAsia="zh-CN"/>
        </w:rPr>
      </w:pPr>
      <w:r>
        <w:rPr>
          <w:rFonts w:hint="eastAsia"/>
          <w:lang w:val="en-US" w:eastAsia="zh-CN"/>
        </w:rPr>
        <w:t>（2）</w:t>
      </w:r>
      <w:r>
        <w:rPr>
          <w:lang w:val="zh-CN" w:eastAsia="zh-CN"/>
        </w:rPr>
        <w:t>对大气环境的影响</w:t>
      </w:r>
    </w:p>
    <w:p w14:paraId="02B7259E">
      <w:pPr>
        <w:bidi w:val="0"/>
        <w:rPr>
          <w:lang w:val="zh-CN" w:eastAsia="zh-CN"/>
        </w:rPr>
      </w:pPr>
      <w:r>
        <w:rPr>
          <w:lang w:val="zh-CN" w:eastAsia="zh-CN"/>
        </w:rPr>
        <w:t>项目实施对大气影响主要是通过改变地表植被覆盖状况、土壤结构与质地，以及改变水文结构、地形地貌等间接方式表现出来。施工期土地平整、道路修建、荒地开垦、灌木砍伐等导致扬尘、地表裸露，从而造成大气中颗粒物的浓度增加。同时，农田防护林带网的建设，不仅可防风固沙和改善农田小气候，还会通过涵养水分、净化空气等改善农田周围地区的大气环境质量。</w:t>
      </w:r>
    </w:p>
    <w:p w14:paraId="19745E35">
      <w:pPr>
        <w:bidi w:val="0"/>
        <w:rPr>
          <w:lang w:val="zh-CN" w:eastAsia="zh-CN"/>
        </w:rPr>
      </w:pPr>
      <w:r>
        <w:rPr>
          <w:rFonts w:hint="eastAsia"/>
          <w:lang w:val="zh-CN" w:eastAsia="zh-CN"/>
        </w:rPr>
        <w:t>（</w:t>
      </w:r>
      <w:r>
        <w:rPr>
          <w:rFonts w:hint="eastAsia"/>
          <w:lang w:val="en-US" w:eastAsia="zh-CN"/>
        </w:rPr>
        <w:t>3</w:t>
      </w:r>
      <w:r>
        <w:rPr>
          <w:rFonts w:hint="eastAsia"/>
          <w:lang w:val="zh-CN" w:eastAsia="zh-CN"/>
        </w:rPr>
        <w:t>）</w:t>
      </w:r>
      <w:r>
        <w:rPr>
          <w:lang w:val="zh-CN" w:eastAsia="zh-CN"/>
        </w:rPr>
        <w:t>对土壤环境的影响</w:t>
      </w:r>
    </w:p>
    <w:p w14:paraId="4AF69D2C">
      <w:pPr>
        <w:bidi w:val="0"/>
        <w:rPr>
          <w:lang w:val="zh-CN" w:eastAsia="zh-CN"/>
        </w:rPr>
      </w:pPr>
      <w:r>
        <w:rPr>
          <w:lang w:val="zh-CN" w:eastAsia="zh-CN"/>
        </w:rPr>
        <w:t>项目施工过程中，荒地垦殖改变原有土层结构；筑路机械压实土壤，从而破坏土壤结构；项目运营期农地耕作势必导致地表土层土质疏松和粒度细化，在耕地播种期及休耕、撂荒期又使其裸露于地表，易导致水土流失；项目运营期大量使用化肥、农药等不仅会对土壤造成污染，杀害土壤中丰富的微生物。</w:t>
      </w:r>
    </w:p>
    <w:p w14:paraId="657E0BD3">
      <w:pPr>
        <w:bidi w:val="0"/>
        <w:rPr>
          <w:lang w:val="zh-CN" w:eastAsia="zh-CN"/>
        </w:rPr>
      </w:pPr>
      <w:r>
        <w:rPr>
          <w:lang w:val="zh-CN" w:eastAsia="zh-CN"/>
        </w:rPr>
        <w:t> </w:t>
      </w:r>
      <w:r>
        <w:rPr>
          <w:rFonts w:hint="eastAsia"/>
          <w:lang w:val="zh-CN" w:eastAsia="zh-CN"/>
        </w:rPr>
        <w:t>（</w:t>
      </w:r>
      <w:r>
        <w:rPr>
          <w:rFonts w:hint="eastAsia"/>
          <w:lang w:val="en-US" w:eastAsia="zh-CN"/>
        </w:rPr>
        <w:t>4</w:t>
      </w:r>
      <w:r>
        <w:rPr>
          <w:rFonts w:hint="eastAsia"/>
          <w:lang w:val="zh-CN" w:eastAsia="zh-CN"/>
        </w:rPr>
        <w:t>）</w:t>
      </w:r>
      <w:r>
        <w:rPr>
          <w:lang w:val="zh-CN" w:eastAsia="zh-CN"/>
        </w:rPr>
        <w:t>对生态系统的影响</w:t>
      </w:r>
    </w:p>
    <w:p w14:paraId="657F966A">
      <w:pPr>
        <w:bidi w:val="0"/>
        <w:rPr>
          <w:lang w:val="zh-CN" w:eastAsia="zh-CN"/>
        </w:rPr>
      </w:pPr>
      <w:r>
        <w:rPr>
          <w:lang w:val="zh-CN" w:eastAsia="zh-CN"/>
        </w:rPr>
        <w:t>项目实施后，地上植被为组成单一的农业作物所替代，导致生态系统的空间异质性降低，病虫害发生的频度与强度增加，野生动植物资源的生存空间日趋减少。 由各类型植被单元构成的地表景观格局是决定各种动植物生态过程、维持相应生物多样性的空间基础。但荒地开发、筑路修渠等土地整理活动势必会改变已有的格局并因此造成许多生态过程的中断。机耕道路、灌溉工程及其辅助工程的修建往往会将许多连续的动植物生境一分为二，并成为许多动物迁徙、植物孢粉运移的屏障。但农田林网可改善局地小气候、涵养水土，增加土地利用空间多样性、减少农作物病虫害发生的有效途径。</w:t>
      </w:r>
    </w:p>
    <w:p w14:paraId="716A718A">
      <w:pPr>
        <w:pStyle w:val="3"/>
        <w:bidi w:val="0"/>
      </w:pPr>
      <w:bookmarkStart w:id="203" w:name="_Toc9398"/>
      <w:r>
        <w:rPr>
          <w:rFonts w:hint="eastAsia"/>
          <w:lang w:val="en-US" w:eastAsia="zh-CN"/>
        </w:rPr>
        <w:t xml:space="preserve">8.2 </w:t>
      </w:r>
      <w:r>
        <w:t>经济效益</w:t>
      </w:r>
      <w:bookmarkEnd w:id="203"/>
    </w:p>
    <w:p w14:paraId="78BF9BAA">
      <w:pPr>
        <w:bidi w:val="0"/>
        <w:rPr>
          <w:rFonts w:hint="eastAsia"/>
          <w:b/>
          <w:bCs/>
        </w:rPr>
      </w:pPr>
      <w:r>
        <w:rPr>
          <w:rFonts w:hint="eastAsia"/>
          <w:b/>
          <w:bCs/>
          <w:lang w:eastAsia="zh-CN"/>
        </w:rPr>
        <w:t>（</w:t>
      </w:r>
      <w:r>
        <w:rPr>
          <w:rFonts w:hint="eastAsia"/>
          <w:b/>
          <w:bCs/>
          <w:lang w:val="en-US" w:eastAsia="zh-CN"/>
        </w:rPr>
        <w:t>1</w:t>
      </w:r>
      <w:r>
        <w:rPr>
          <w:rFonts w:hint="eastAsia"/>
          <w:b/>
          <w:bCs/>
          <w:lang w:eastAsia="zh-CN"/>
        </w:rPr>
        <w:t>）</w:t>
      </w:r>
      <w:r>
        <w:rPr>
          <w:rFonts w:hint="eastAsia"/>
          <w:b/>
          <w:bCs/>
        </w:rPr>
        <w:t>耕地产能收益计算</w:t>
      </w:r>
    </w:p>
    <w:p w14:paraId="4416A7F5">
      <w:pPr>
        <w:bidi w:val="0"/>
        <w:rPr>
          <w:rFonts w:hint="eastAsia"/>
        </w:rPr>
      </w:pPr>
      <w:r>
        <w:rPr>
          <w:rFonts w:hint="eastAsia"/>
        </w:rPr>
        <w:t>本项目以建设农田基础设施为主，完善沟渠灌排系统，增强抗旱排涝能力，提高水资源的利用率等方面建设，把现有农田建设成排灌便利高产稳产的高标准农田，从而减少对环境尤其是对水源、土壤的破坏和污染，既有</w:t>
      </w:r>
      <w:r>
        <w:rPr>
          <w:rFonts w:hint="eastAsia"/>
          <w:lang w:eastAsia="zh-CN"/>
        </w:rPr>
        <w:t>利于</w:t>
      </w:r>
      <w:r>
        <w:rPr>
          <w:rFonts w:hint="eastAsia"/>
        </w:rPr>
        <w:t>保护生态环境，进而确保农业可持续发展。</w:t>
      </w:r>
    </w:p>
    <w:p w14:paraId="18ADAA60">
      <w:pPr>
        <w:bidi w:val="0"/>
        <w:rPr>
          <w:lang w:val="zh-CN" w:eastAsia="zh-CN"/>
        </w:rPr>
      </w:pPr>
      <w:r>
        <w:rPr>
          <w:lang w:val="zh-CN" w:eastAsia="zh-CN"/>
        </w:rPr>
        <w:t>项目实施后，将建立以高效、高产、优质作物为主导的农业种植结构</w:t>
      </w:r>
      <w:r>
        <w:rPr>
          <w:rFonts w:hint="eastAsia"/>
        </w:rPr>
        <w:t>。</w:t>
      </w:r>
      <w:r>
        <w:rPr>
          <w:rFonts w:hint="eastAsia"/>
          <w:lang w:val="en-US" w:eastAsia="zh-CN"/>
        </w:rPr>
        <w:t>预计水田每亩产量可提高30kg，每亩种植成本降低40元。项目水田面积519.61亩。</w:t>
      </w:r>
      <w:r>
        <w:rPr>
          <w:lang w:val="zh-CN" w:eastAsia="zh-CN"/>
        </w:rPr>
        <w:t>年总净增效益为</w:t>
      </w:r>
      <w:r>
        <w:rPr>
          <w:rFonts w:hint="eastAsia"/>
          <w:lang w:val="en-US" w:eastAsia="zh-CN"/>
        </w:rPr>
        <w:t>5.96万</w:t>
      </w:r>
      <w:r>
        <w:rPr>
          <w:lang w:val="zh-CN" w:eastAsia="zh-CN"/>
        </w:rPr>
        <w:t>元，耕地直接经济效益非常显著。另外，如果考虑到项目区实施后经济结构调整和升级等间接经济收益，项目区经济效益将更为可观。</w:t>
      </w:r>
    </w:p>
    <w:p w14:paraId="14B140B0">
      <w:pPr>
        <w:bidi w:val="0"/>
        <w:rPr>
          <w:rFonts w:hint="eastAsia"/>
          <w:b/>
          <w:bCs/>
        </w:rPr>
      </w:pPr>
      <w:r>
        <w:rPr>
          <w:rFonts w:hint="eastAsia"/>
          <w:b/>
          <w:bCs/>
          <w:lang w:eastAsia="zh-CN"/>
        </w:rPr>
        <w:t>（</w:t>
      </w:r>
      <w:r>
        <w:rPr>
          <w:rFonts w:hint="eastAsia"/>
          <w:b/>
          <w:bCs/>
        </w:rPr>
        <w:t>2）静态评价指标</w:t>
      </w:r>
    </w:p>
    <w:p w14:paraId="309D4CB2">
      <w:pPr>
        <w:bidi w:val="0"/>
        <w:rPr>
          <w:rFonts w:hint="eastAsia"/>
          <w:color w:val="auto"/>
        </w:rPr>
      </w:pPr>
      <w:r>
        <w:rPr>
          <w:rFonts w:hint="eastAsia"/>
          <w:color w:val="auto"/>
        </w:rPr>
        <w:t>在计算投资回收期时采用静态投资回收期计算公式计算，则静态投资回收期（</w:t>
      </w:r>
      <w:r>
        <w:rPr>
          <w:rFonts w:hint="eastAsia"/>
          <w:color w:val="auto"/>
          <w:highlight w:val="none"/>
        </w:rPr>
        <w:t>年）： T=K/D=</w:t>
      </w:r>
      <w:r>
        <w:rPr>
          <w:rFonts w:hint="eastAsia"/>
          <w:color w:val="auto"/>
          <w:highlight w:val="none"/>
          <w:lang w:val="en-US" w:eastAsia="zh-CN"/>
        </w:rPr>
        <w:t>54.59</w:t>
      </w:r>
      <w:r>
        <w:rPr>
          <w:rFonts w:hint="eastAsia"/>
          <w:color w:val="auto"/>
          <w:highlight w:val="none"/>
        </w:rPr>
        <w:t>/</w:t>
      </w:r>
      <w:r>
        <w:rPr>
          <w:rFonts w:hint="eastAsia"/>
          <w:highlight w:val="none"/>
          <w:lang w:val="en-US" w:eastAsia="zh-CN"/>
        </w:rPr>
        <w:t>5.96</w:t>
      </w:r>
      <w:r>
        <w:rPr>
          <w:rFonts w:hint="eastAsia"/>
          <w:color w:val="auto"/>
          <w:highlight w:val="none"/>
        </w:rPr>
        <w:t>≈</w:t>
      </w:r>
      <w:r>
        <w:rPr>
          <w:rFonts w:hint="eastAsia"/>
          <w:color w:val="auto"/>
          <w:highlight w:val="none"/>
          <w:lang w:val="en-US" w:eastAsia="zh-CN"/>
        </w:rPr>
        <w:t>10（</w:t>
      </w:r>
      <w:r>
        <w:rPr>
          <w:rFonts w:hint="eastAsia"/>
          <w:color w:val="auto"/>
          <w:highlight w:val="none"/>
        </w:rPr>
        <w:t>年</w:t>
      </w:r>
      <w:r>
        <w:rPr>
          <w:rFonts w:hint="eastAsia"/>
          <w:color w:val="auto"/>
          <w:highlight w:val="none"/>
          <w:lang w:eastAsia="zh-CN"/>
        </w:rPr>
        <w:t>）</w:t>
      </w:r>
    </w:p>
    <w:p w14:paraId="3AEA6D53">
      <w:pPr>
        <w:bidi w:val="0"/>
        <w:rPr>
          <w:rFonts w:hint="eastAsia"/>
          <w:color w:val="auto"/>
        </w:rPr>
      </w:pPr>
      <w:r>
        <w:rPr>
          <w:rFonts w:hint="eastAsia"/>
          <w:color w:val="auto"/>
        </w:rPr>
        <w:t>式中：</w:t>
      </w:r>
      <w:r>
        <w:rPr>
          <w:rFonts w:hint="eastAsia"/>
          <w:color w:val="auto"/>
          <w:lang w:val="en-US" w:eastAsia="zh-CN"/>
        </w:rPr>
        <w:t xml:space="preserve"> </w:t>
      </w:r>
      <w:r>
        <w:rPr>
          <w:rFonts w:hint="eastAsia"/>
          <w:color w:val="auto"/>
        </w:rPr>
        <w:t xml:space="preserve">T——静态投资回收期 </w:t>
      </w:r>
    </w:p>
    <w:p w14:paraId="2BB07DF9">
      <w:pPr>
        <w:bidi w:val="0"/>
        <w:ind w:firstLine="1315" w:firstLineChars="548"/>
        <w:rPr>
          <w:rFonts w:hint="eastAsia"/>
          <w:color w:val="auto"/>
        </w:rPr>
      </w:pPr>
      <w:r>
        <w:rPr>
          <w:rFonts w:hint="eastAsia"/>
          <w:color w:val="auto"/>
        </w:rPr>
        <w:t xml:space="preserve">K——项目总投资 </w:t>
      </w:r>
    </w:p>
    <w:p w14:paraId="43788401">
      <w:pPr>
        <w:bidi w:val="0"/>
        <w:ind w:firstLine="1315" w:firstLineChars="548"/>
        <w:rPr>
          <w:rFonts w:hint="eastAsia"/>
          <w:color w:val="auto"/>
        </w:rPr>
      </w:pPr>
      <w:r>
        <w:rPr>
          <w:rFonts w:hint="eastAsia"/>
          <w:color w:val="auto"/>
        </w:rPr>
        <w:t>D——生产期正常年增的收益</w:t>
      </w:r>
    </w:p>
    <w:p w14:paraId="041F264B">
      <w:pPr>
        <w:bidi w:val="0"/>
        <w:rPr>
          <w:rFonts w:hint="eastAsia"/>
          <w:highlight w:val="none"/>
        </w:rPr>
      </w:pPr>
      <w:r>
        <w:rPr>
          <w:rFonts w:hint="eastAsia"/>
          <w:color w:val="auto"/>
          <w:highlight w:val="none"/>
        </w:rPr>
        <w:t>经计算项目总投资静态回收期为</w:t>
      </w:r>
      <w:r>
        <w:rPr>
          <w:rFonts w:hint="eastAsia"/>
          <w:color w:val="auto"/>
          <w:highlight w:val="none"/>
          <w:lang w:val="en-US" w:eastAsia="zh-CN"/>
        </w:rPr>
        <w:t>10</w:t>
      </w:r>
      <w:r>
        <w:rPr>
          <w:rFonts w:hint="eastAsia"/>
          <w:color w:val="auto"/>
          <w:highlight w:val="none"/>
        </w:rPr>
        <w:t>年，</w:t>
      </w:r>
      <w:r>
        <w:rPr>
          <w:rFonts w:hint="eastAsia"/>
          <w:color w:val="auto"/>
          <w:highlight w:val="none"/>
          <w:lang w:val="en-US" w:eastAsia="zh-CN"/>
        </w:rPr>
        <w:t>年</w:t>
      </w:r>
      <w:r>
        <w:rPr>
          <w:rFonts w:hint="eastAsia"/>
          <w:color w:val="auto"/>
          <w:highlight w:val="none"/>
        </w:rPr>
        <w:t>总净增效益为</w:t>
      </w:r>
      <w:r>
        <w:rPr>
          <w:rFonts w:hint="eastAsia"/>
          <w:lang w:val="en-US" w:eastAsia="zh-CN"/>
        </w:rPr>
        <w:t>5.96</w:t>
      </w:r>
      <w:r>
        <w:rPr>
          <w:rFonts w:hint="eastAsia"/>
          <w:color w:val="auto"/>
          <w:highlight w:val="none"/>
        </w:rPr>
        <w:t>万元，本项目实施所产生的社会效益是巨大的，生态效益是明显的，经济效益按农业项目标</w:t>
      </w:r>
      <w:r>
        <w:rPr>
          <w:rFonts w:hint="eastAsia"/>
          <w:highlight w:val="none"/>
        </w:rPr>
        <w:t>准也是可行的，能达到社会效益、经济效益与生态效益的统一，符合高标准农田建设的目标。</w:t>
      </w:r>
    </w:p>
    <w:p w14:paraId="22D82286">
      <w:pPr>
        <w:pStyle w:val="3"/>
        <w:bidi w:val="0"/>
      </w:pPr>
      <w:bookmarkStart w:id="204" w:name="_Toc21320"/>
      <w:r>
        <w:rPr>
          <w:rFonts w:hint="eastAsia"/>
          <w:lang w:val="en-US" w:eastAsia="zh-CN"/>
        </w:rPr>
        <w:t xml:space="preserve">8.3 </w:t>
      </w:r>
      <w:r>
        <w:t>社会效益</w:t>
      </w:r>
      <w:bookmarkEnd w:id="204"/>
    </w:p>
    <w:p w14:paraId="323AE362">
      <w:pPr>
        <w:bidi w:val="0"/>
        <w:rPr>
          <w:rFonts w:hint="default" w:eastAsia="宋体"/>
          <w:color w:val="auto"/>
          <w:lang w:val="en-US" w:eastAsia="zh-CN"/>
        </w:rPr>
      </w:pPr>
      <w:r>
        <w:rPr>
          <w:rFonts w:hint="default"/>
          <w:lang w:val="zh-CN"/>
        </w:rPr>
        <w:t>本项目属农业基础设施建设项目社会效益非常明显，将加快粮食产业化步伐，可以大幅提高土地的利用率、产出率和劳动生产率，实现规模效益，提高粮食品质，提高水稻的商品率、劳动生产率、比较效益和规模效益，促进农业增效农民增收，提高农民的生产积极性，达到产量、质量、结构、效益的统一，实现农业的可持续发展。同时，粮食生产还可带动相关产业的发展，进一步变资源优势为商品优势和经济优势，提高农业效益</w:t>
      </w:r>
      <w:r>
        <w:rPr>
          <w:rFonts w:hint="eastAsia"/>
          <w:color w:val="auto"/>
          <w:lang w:val="en-US" w:eastAsia="zh-CN"/>
        </w:rPr>
        <w:t>。</w:t>
      </w:r>
    </w:p>
    <w:p w14:paraId="01492A3F">
      <w:pPr>
        <w:bidi w:val="0"/>
        <w:rPr>
          <w:b/>
          <w:bCs/>
          <w:lang w:val="zh-CN"/>
        </w:rPr>
      </w:pPr>
      <w:r>
        <w:rPr>
          <w:b/>
          <w:bCs/>
          <w:lang w:val="zh-CN"/>
        </w:rPr>
        <w:t>（1）保障粮食安全</w:t>
      </w:r>
    </w:p>
    <w:p w14:paraId="2E17A703">
      <w:pPr>
        <w:bidi w:val="0"/>
        <w:rPr>
          <w:lang w:val="zh-CN"/>
        </w:rPr>
      </w:pPr>
      <w:r>
        <w:rPr>
          <w:lang w:val="zh-CN"/>
        </w:rPr>
        <w:t>通过高标准农田的</w:t>
      </w:r>
      <w:r>
        <w:rPr>
          <w:rFonts w:hint="eastAsia"/>
          <w:lang w:val="en-US" w:eastAsia="zh-CN"/>
        </w:rPr>
        <w:t>改造提升</w:t>
      </w:r>
      <w:r>
        <w:rPr>
          <w:lang w:val="zh-CN"/>
        </w:rPr>
        <w:t>，对提高</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lang w:val="zh-CN"/>
        </w:rPr>
        <w:t>粮食综合生产能力、保障粮食安全，改善</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lang w:val="zh-CN"/>
        </w:rPr>
        <w:t>的粮食基本生产条件和生态环境发挥了重要的作用；通过灌渠和配套建筑物建设，灌排分开，将有效降低洪、涝、旱灾害的威胁，促进水土资源的可持续利用。通过土地平整、水利工程配套、道路工程、农田防护林建设等工程措施，项目区的生态环境将得到改善；通过增施有机肥、秸秆还田、轮作</w:t>
      </w:r>
      <w:r>
        <w:rPr>
          <w:rFonts w:hint="eastAsia"/>
          <w:lang w:val="zh-CN"/>
        </w:rPr>
        <w:t>复合微生物肥</w:t>
      </w:r>
      <w:r>
        <w:rPr>
          <w:lang w:val="zh-CN"/>
        </w:rPr>
        <w:t>等措施，土壤有机质含量将大幅提高。</w:t>
      </w:r>
    </w:p>
    <w:p w14:paraId="41B62AA8">
      <w:pPr>
        <w:bidi w:val="0"/>
        <w:rPr>
          <w:b/>
          <w:bCs/>
          <w:lang w:val="zh-CN"/>
        </w:rPr>
      </w:pPr>
      <w:r>
        <w:rPr>
          <w:b/>
          <w:bCs/>
          <w:lang w:val="zh-CN"/>
        </w:rPr>
        <w:t>（2）提高土地利用率</w:t>
      </w:r>
    </w:p>
    <w:p w14:paraId="2DD8572A">
      <w:pPr>
        <w:bidi w:val="0"/>
        <w:rPr>
          <w:lang w:val="zh-CN"/>
        </w:rPr>
      </w:pPr>
      <w:r>
        <w:rPr>
          <w:lang w:val="zh-CN"/>
        </w:rPr>
        <w:t>通过对集中连片的中低产田进行综合治理，项目区形成较完善的田间道路系统和农田灌排系统，使项目区的农业生产</w:t>
      </w:r>
      <w:r>
        <w:rPr>
          <w:rFonts w:hint="eastAsia"/>
          <w:lang w:val="zh-CN"/>
        </w:rPr>
        <w:t>条件</w:t>
      </w:r>
      <w:r>
        <w:rPr>
          <w:lang w:val="zh-CN"/>
        </w:rPr>
        <w:t>得到根本改善，机械化程度大幅度提高，耕地质量将得到全面改善，耕地产出率将得到较大提高。既改善农业生产条件，又促进土地资源的可持续利用。</w:t>
      </w:r>
    </w:p>
    <w:p w14:paraId="7FD8CB17">
      <w:pPr>
        <w:bidi w:val="0"/>
        <w:rPr>
          <w:b/>
          <w:bCs/>
          <w:lang w:val="zh-CN"/>
        </w:rPr>
      </w:pPr>
      <w:r>
        <w:rPr>
          <w:b/>
          <w:bCs/>
          <w:lang w:val="zh-CN"/>
        </w:rPr>
        <w:t>（</w:t>
      </w:r>
      <w:r>
        <w:rPr>
          <w:rFonts w:hint="eastAsia"/>
          <w:b/>
          <w:bCs/>
          <w:lang w:val="en-US" w:eastAsia="zh-CN"/>
        </w:rPr>
        <w:t>3</w:t>
      </w:r>
      <w:r>
        <w:rPr>
          <w:b/>
          <w:bCs/>
          <w:lang w:val="zh-CN"/>
        </w:rPr>
        <w:t>）发挥示范作用</w:t>
      </w:r>
      <w:r>
        <w:rPr>
          <w:b/>
          <w:bCs/>
          <w:lang w:val="zh-CN"/>
        </w:rPr>
        <w:tab/>
      </w:r>
    </w:p>
    <w:p w14:paraId="1AF5CAAD">
      <w:pPr>
        <w:bidi w:val="0"/>
        <w:rPr>
          <w:lang w:val="zh-CN"/>
        </w:rPr>
      </w:pPr>
      <w:r>
        <w:rPr>
          <w:lang w:val="zh-CN"/>
        </w:rPr>
        <w:t>本项目的实施，能使项目区大量中低产</w:t>
      </w:r>
      <w:r>
        <w:rPr>
          <w:rFonts w:hint="eastAsia"/>
          <w:lang w:val="zh-CN"/>
        </w:rPr>
        <w:t>农田</w:t>
      </w:r>
      <w:r>
        <w:rPr>
          <w:lang w:val="zh-CN"/>
        </w:rPr>
        <w:t>得到改造，产量增加，同时增加农民收入，加快农业现代化进程，促进当地的经济发展，增进广大农民群众对高标准农田建设工作的理解和支持，从而促进高标准农田建设全面、深入开展。</w:t>
      </w:r>
    </w:p>
    <w:p w14:paraId="039505CC">
      <w:pPr>
        <w:bidi w:val="0"/>
        <w:rPr>
          <w:b/>
          <w:bCs/>
          <w:lang w:val="zh-CN"/>
        </w:rPr>
      </w:pPr>
      <w:r>
        <w:rPr>
          <w:b/>
          <w:bCs/>
          <w:lang w:val="zh-CN"/>
        </w:rPr>
        <w:t>（</w:t>
      </w:r>
      <w:r>
        <w:rPr>
          <w:rFonts w:hint="eastAsia"/>
          <w:b/>
          <w:bCs/>
          <w:lang w:val="en-US" w:eastAsia="zh-CN"/>
        </w:rPr>
        <w:t>4</w:t>
      </w:r>
      <w:r>
        <w:rPr>
          <w:b/>
          <w:bCs/>
          <w:lang w:val="zh-CN"/>
        </w:rPr>
        <w:t>）提高农业科技水平</w:t>
      </w:r>
    </w:p>
    <w:p w14:paraId="4AFCF469">
      <w:pPr>
        <w:bidi w:val="0"/>
        <w:rPr>
          <w:lang w:val="zh-CN"/>
        </w:rPr>
      </w:pPr>
      <w:r>
        <w:rPr>
          <w:lang w:val="zh-CN"/>
        </w:rPr>
        <w:t>通过项目的实施，良种良法的示范推广和农民培训力度加大，有效提升项目区农民种植水平，显著改善农业生产条件，专业化、标准化和集约化水平，为我省加快现代农业发展奠定坚实基础。</w:t>
      </w:r>
    </w:p>
    <w:p w14:paraId="14829BC5">
      <w:pPr>
        <w:pStyle w:val="3"/>
        <w:bidi w:val="0"/>
      </w:pPr>
      <w:bookmarkStart w:id="205" w:name="_Toc15543"/>
      <w:r>
        <w:rPr>
          <w:rFonts w:hint="eastAsia"/>
          <w:lang w:val="en-US" w:eastAsia="zh-CN"/>
        </w:rPr>
        <w:t xml:space="preserve">8.4 </w:t>
      </w:r>
      <w:r>
        <w:t>其他效益</w:t>
      </w:r>
      <w:bookmarkEnd w:id="205"/>
    </w:p>
    <w:p w14:paraId="07A116AF">
      <w:pPr>
        <w:bidi w:val="0"/>
        <w:rPr>
          <w:rFonts w:hint="default"/>
          <w:color w:val="0000FF"/>
          <w:lang w:val="en-US" w:eastAsia="zh-CN"/>
        </w:rPr>
      </w:pPr>
      <w:r>
        <w:rPr>
          <w:rFonts w:hint="eastAsia"/>
          <w:lang w:val="en-US" w:eastAsia="zh-CN"/>
        </w:rPr>
        <w:t>通过农田建设项目的建设，对提高粮食综合生产能力、保障粮食安全，改善</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的粮食基本生产条件和生态环境发挥了重要的作用；通过灌渠和配套建筑物建设，灌排分开，将有效降低洪、涝、旱灾害的威胁，促进水土资源的可持续利用。通过土地平整、水利工程配套、道路工程、农田防护林建设等工程措施，项目区的生态环境 将得到改善；通过增施有机肥、秸秆还田、轮作绿肥等措施，土壤有机质含量将大幅提高；沿田间道、河岸、沟坡等植树造林，使林网覆盖率和水土保持能力大幅度提高的同时，也将改善项目区内的田间小气候，达到抗御</w:t>
      </w:r>
      <w:r>
        <w:rPr>
          <w:rFonts w:hint="eastAsia"/>
          <w:color w:val="auto"/>
          <w:lang w:val="en-US" w:eastAsia="zh-CN"/>
        </w:rPr>
        <w:t>风沙灾害的作用，从而改善农田生态环境。</w:t>
      </w:r>
    </w:p>
    <w:p w14:paraId="661D5AF2">
      <w:pPr>
        <w:rPr>
          <w:rFonts w:hint="eastAsia"/>
          <w:highlight w:val="none"/>
          <w:lang w:val="en-US" w:eastAsia="zh-CN"/>
        </w:rPr>
      </w:pPr>
      <w:r>
        <w:rPr>
          <w:rFonts w:hint="eastAsia"/>
          <w:highlight w:val="none"/>
          <w:lang w:val="en-US" w:eastAsia="zh-CN"/>
        </w:rPr>
        <w:br w:type="page"/>
      </w:r>
    </w:p>
    <w:p w14:paraId="0C28682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eastAsia="宋体"/>
          <w:highlight w:val="none"/>
          <w:lang w:val="en-US" w:eastAsia="zh-CN"/>
        </w:rPr>
      </w:pPr>
      <w:r>
        <w:rPr>
          <w:rFonts w:hint="eastAsia"/>
          <w:highlight w:val="none"/>
          <w:lang w:val="en-US" w:eastAsia="zh-CN"/>
        </w:rPr>
        <w:t>表8.4-1 高标准农田建设项目预期收益表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78"/>
        <w:gridCol w:w="1321"/>
        <w:gridCol w:w="1321"/>
      </w:tblGrid>
      <w:tr w14:paraId="29327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8F7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项目名称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336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单位</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036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数值</w:t>
            </w:r>
          </w:p>
        </w:tc>
      </w:tr>
      <w:tr w14:paraId="744BE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3F7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一、农业生产条件及生态环境改善</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912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0ED7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128AD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AB2AE">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1.新增耕地面积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6DE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E729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1CEBB5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3D62F">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其中，新增水田面积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881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ED17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43A92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17FF1">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新增耕地平均增加等级</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ABA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级</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FDA0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0FA51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1C51E">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2.新增和改善灌溉达标面积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44D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16C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rPr>
            </w:pPr>
            <w:r>
              <w:rPr>
                <w:rFonts w:hint="default" w:ascii="Times New Roman" w:hAnsi="Times New Roman" w:cs="Times New Roman" w:eastAsiaTheme="minorEastAsia"/>
                <w:i w:val="0"/>
                <w:iCs w:val="0"/>
                <w:color w:val="000000"/>
                <w:kern w:val="0"/>
                <w:sz w:val="21"/>
                <w:szCs w:val="21"/>
                <w:u w:val="none"/>
                <w:lang w:val="en-US" w:eastAsia="zh-CN" w:bidi="ar"/>
              </w:rPr>
              <w:t>0.04</w:t>
            </w:r>
          </w:p>
        </w:tc>
      </w:tr>
      <w:tr w14:paraId="737C6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7B725">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3.新增和改善排水达标面积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979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F05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eastAsia="zh-CN"/>
              </w:rPr>
            </w:pPr>
            <w:r>
              <w:rPr>
                <w:rFonts w:hint="default" w:ascii="Times New Roman" w:hAnsi="Times New Roman" w:cs="Times New Roman" w:eastAsiaTheme="minorEastAsia"/>
                <w:i w:val="0"/>
                <w:iCs w:val="0"/>
                <w:color w:val="000000"/>
                <w:sz w:val="21"/>
                <w:szCs w:val="21"/>
                <w:u w:val="none"/>
                <w:lang w:val="en-US" w:eastAsia="zh-CN"/>
              </w:rPr>
              <w:t>0.02</w:t>
            </w:r>
          </w:p>
        </w:tc>
      </w:tr>
      <w:tr w14:paraId="34F90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B3B92">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4.旱地改水田面积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984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85D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p>
        </w:tc>
      </w:tr>
      <w:tr w14:paraId="2AC44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EB237">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5.新增节水灌溉面积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A6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A84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03D66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912CE">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其中：高效节水灌溉面积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271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DABB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067A2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85ADC">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6.年节约水量</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036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10</w:t>
            </w:r>
            <w:r>
              <w:rPr>
                <w:rStyle w:val="31"/>
                <w:rFonts w:hint="default" w:ascii="Times New Roman" w:hAnsi="Times New Roman" w:cs="Times New Roman" w:eastAsiaTheme="minorEastAsia"/>
                <w:sz w:val="21"/>
                <w:szCs w:val="21"/>
                <w:lang w:val="en-US" w:eastAsia="zh-CN" w:bidi="ar"/>
              </w:rPr>
              <w:t>4</w:t>
            </w:r>
            <w:r>
              <w:rPr>
                <w:rFonts w:hint="default" w:ascii="Times New Roman" w:hAnsi="Times New Roman" w:cs="Times New Roman" w:eastAsiaTheme="minorEastAsia"/>
                <w:i w:val="0"/>
                <w:iCs w:val="0"/>
                <w:color w:val="000000"/>
                <w:kern w:val="0"/>
                <w:sz w:val="21"/>
                <w:szCs w:val="21"/>
                <w:u w:val="none"/>
                <w:lang w:val="en-US" w:eastAsia="zh-CN" w:bidi="ar"/>
              </w:rPr>
              <w:t>m</w:t>
            </w:r>
            <w:r>
              <w:rPr>
                <w:rStyle w:val="31"/>
                <w:rFonts w:hint="default" w:ascii="Times New Roman" w:hAnsi="Times New Roman" w:cs="Times New Roman" w:eastAsiaTheme="minorEastAsia"/>
                <w:sz w:val="21"/>
                <w:szCs w:val="21"/>
                <w:lang w:val="en-US" w:eastAsia="zh-CN" w:bidi="ar"/>
              </w:rPr>
              <w:t>3</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87F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73C5C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C9B09">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7.灌溉水利用率提高</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CA3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722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15</w:t>
            </w:r>
          </w:p>
        </w:tc>
      </w:tr>
      <w:tr w14:paraId="03BE4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418E7">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8.道路通达率</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5C0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69B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90</w:t>
            </w:r>
          </w:p>
        </w:tc>
      </w:tr>
      <w:tr w14:paraId="37DC1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25E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二、年新增主要农产品生产能力</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BD6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15D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64319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38893">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9.粮食</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24C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吨</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AEE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rPr>
            </w:pPr>
            <w:r>
              <w:rPr>
                <w:rFonts w:hint="eastAsia" w:cs="Times New Roman" w:eastAsiaTheme="minorEastAsia"/>
                <w:i w:val="0"/>
                <w:iCs w:val="0"/>
                <w:color w:val="000000"/>
                <w:kern w:val="0"/>
                <w:sz w:val="21"/>
                <w:szCs w:val="21"/>
                <w:u w:val="none"/>
                <w:lang w:val="en-US" w:eastAsia="zh-CN" w:bidi="ar"/>
              </w:rPr>
              <w:t>15.59</w:t>
            </w:r>
          </w:p>
        </w:tc>
      </w:tr>
      <w:tr w14:paraId="57755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E884B">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10.棉花</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937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吨</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809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31F86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A8D1D">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11.油料</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ED5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吨</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A42C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30D8B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6E7D1">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12.其他农产品</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86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吨</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DE3E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5802C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E8B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三、项目区经济效益和社会效益</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62C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3E77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136EC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D6C4A">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13.项目区年直接受益农户数量</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952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户</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B31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rPr>
            </w:pPr>
            <w:r>
              <w:rPr>
                <w:rFonts w:hint="default" w:ascii="Times New Roman" w:hAnsi="Times New Roman" w:cs="Times New Roman" w:eastAsiaTheme="minorEastAsia"/>
                <w:i w:val="0"/>
                <w:iCs w:val="0"/>
                <w:color w:val="000000"/>
                <w:kern w:val="0"/>
                <w:sz w:val="21"/>
                <w:szCs w:val="21"/>
                <w:u w:val="none"/>
                <w:lang w:val="en-US" w:eastAsia="zh-CN" w:bidi="ar"/>
              </w:rPr>
              <w:t>52</w:t>
            </w:r>
          </w:p>
        </w:tc>
      </w:tr>
      <w:tr w14:paraId="7A063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E4DAC">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14.项目区年直接受益农业人口数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C02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人</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F63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rPr>
            </w:pPr>
            <w:r>
              <w:rPr>
                <w:rFonts w:hint="default" w:ascii="Times New Roman" w:hAnsi="Times New Roman" w:cs="Times New Roman" w:eastAsiaTheme="minorEastAsia"/>
                <w:i w:val="0"/>
                <w:iCs w:val="0"/>
                <w:color w:val="000000"/>
                <w:kern w:val="0"/>
                <w:sz w:val="21"/>
                <w:szCs w:val="21"/>
                <w:u w:val="none"/>
                <w:lang w:val="en-US" w:eastAsia="zh-CN" w:bidi="ar"/>
              </w:rPr>
              <w:t>143</w:t>
            </w:r>
          </w:p>
        </w:tc>
      </w:tr>
      <w:tr w14:paraId="08C59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E0E45">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15.项目区直接受益农民年纯收入增加总额</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F3D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万元</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030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lang w:val="en-US"/>
              </w:rPr>
            </w:pPr>
            <w:r>
              <w:rPr>
                <w:rFonts w:hint="default" w:ascii="Times New Roman" w:hAnsi="Times New Roman" w:cs="Times New Roman" w:eastAsiaTheme="minorEastAsia"/>
                <w:i w:val="0"/>
                <w:iCs w:val="0"/>
                <w:color w:val="000000"/>
                <w:kern w:val="0"/>
                <w:sz w:val="21"/>
                <w:szCs w:val="21"/>
                <w:u w:val="none"/>
                <w:lang w:val="en-US" w:eastAsia="zh-CN" w:bidi="ar"/>
              </w:rPr>
              <w:t>5.</w:t>
            </w:r>
          </w:p>
        </w:tc>
      </w:tr>
      <w:tr w14:paraId="78E4F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1AEE4">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16.项目区公众满意度</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08A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3C8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100</w:t>
            </w:r>
          </w:p>
        </w:tc>
      </w:tr>
      <w:tr w14:paraId="4778D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49B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四、其他效益</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2EB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6EDE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64D2F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59B41">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17.扩大良种种植面积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14F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1C8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1AFC7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D54F4">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18.土壤改良面积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87E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AE8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p>
        </w:tc>
      </w:tr>
      <w:tr w14:paraId="629DE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89B5F">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土壤质地改良面积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DC6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1A8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p>
        </w:tc>
      </w:tr>
      <w:tr w14:paraId="0B46F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7CC74">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治理酸化土地面积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FA6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93F7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5E3B6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6066F">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改良渍涝潜育土地面积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F09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A359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4BE35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0912A">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改良贫瘠土地面积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5BA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684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337B7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895DC">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治理板结土地面积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BED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1C9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1703C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F2A9A">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修复轻度污染土地面积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821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66B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04DE7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B33CF">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19.消除障碍土层土地面积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E0F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B63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537BD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749F9">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20.土壤培肥面积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A9E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D4F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p>
        </w:tc>
      </w:tr>
      <w:tr w14:paraId="58570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331BF">
            <w:pPr>
              <w:keepNext w:val="0"/>
              <w:keepLines w:val="0"/>
              <w:pageBreakBefore w:val="0"/>
              <w:widowControl/>
              <w:suppressLineNumbers w:val="0"/>
              <w:kinsoku/>
              <w:wordWrap/>
              <w:overflowPunct/>
              <w:topLinePunct w:val="0"/>
              <w:autoSpaceDE/>
              <w:autoSpaceDN/>
              <w:bidi w:val="0"/>
              <w:adjustRightInd/>
              <w:snapToGrid/>
              <w:spacing w:line="240" w:lineRule="auto"/>
              <w:ind w:firstLine="210" w:firstLineChars="1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21.项目区土地流转面积</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CA3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万亩</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311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43C71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7E616">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农业龙头企业个数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189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个</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C3C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67982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3E667">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农民合作组织个数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4A0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个</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CAF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4A2BA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D21C">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家庭农场个数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3D8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个</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14B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rPr>
            </w:pPr>
          </w:p>
        </w:tc>
      </w:tr>
      <w:tr w14:paraId="2E368A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34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41251">
            <w:pPr>
              <w:keepNext w:val="0"/>
              <w:keepLines w:val="0"/>
              <w:pageBreakBefore w:val="0"/>
              <w:widowControl/>
              <w:suppressLineNumbers w:val="0"/>
              <w:kinsoku/>
              <w:wordWrap/>
              <w:overflowPunct/>
              <w:topLinePunct w:val="0"/>
              <w:autoSpaceDE/>
              <w:autoSpaceDN/>
              <w:bidi w:val="0"/>
              <w:adjustRightInd/>
              <w:snapToGrid/>
              <w:spacing w:line="240" w:lineRule="auto"/>
              <w:ind w:firstLine="420" w:firstLineChars="200"/>
              <w:jc w:val="left"/>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种粮大户个数</w:t>
            </w:r>
          </w:p>
        </w:tc>
        <w:tc>
          <w:tcPr>
            <w:tcW w:w="7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84F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sz w:val="21"/>
                <w:szCs w:val="21"/>
                <w:u w:val="none"/>
              </w:rPr>
            </w:pPr>
            <w:r>
              <w:rPr>
                <w:rFonts w:hint="default" w:ascii="Times New Roman" w:hAnsi="Times New Roman" w:cs="Times New Roman" w:eastAsiaTheme="minorEastAsia"/>
                <w:i w:val="0"/>
                <w:iCs w:val="0"/>
                <w:color w:val="000000"/>
                <w:kern w:val="0"/>
                <w:sz w:val="21"/>
                <w:szCs w:val="21"/>
                <w:u w:val="none"/>
                <w:lang w:val="en-US" w:eastAsia="zh-CN" w:bidi="ar"/>
              </w:rPr>
              <w:t>个</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4B6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sz w:val="21"/>
                <w:szCs w:val="21"/>
                <w:u w:val="none"/>
                <w:lang w:val="en-US" w:eastAsia="zh-CN"/>
              </w:rPr>
            </w:pPr>
          </w:p>
        </w:tc>
      </w:tr>
    </w:tbl>
    <w:p w14:paraId="23F489EA">
      <w:pPr>
        <w:bidi w:val="0"/>
        <w:sectPr>
          <w:pgSz w:w="11906" w:h="16838"/>
          <w:pgMar w:top="1440" w:right="1800" w:bottom="1440" w:left="1800" w:header="851" w:footer="992" w:gutter="0"/>
          <w:pgNumType w:fmt="decimal"/>
          <w:cols w:space="425" w:num="1"/>
          <w:docGrid w:type="lines" w:linePitch="312" w:charSpace="0"/>
        </w:sectPr>
      </w:pPr>
    </w:p>
    <w:p w14:paraId="67E29CB0">
      <w:pPr>
        <w:pStyle w:val="2"/>
        <w:bidi w:val="0"/>
        <w:rPr>
          <w:rFonts w:hint="eastAsia"/>
          <w:lang w:val="en-US" w:eastAsia="zh-CN"/>
        </w:rPr>
      </w:pPr>
      <w:bookmarkStart w:id="206" w:name="_Toc7211"/>
      <w:r>
        <w:rPr>
          <w:rFonts w:hint="eastAsia"/>
          <w:lang w:val="en-US" w:eastAsia="zh-CN"/>
        </w:rPr>
        <w:t>第九章  实施管理</w:t>
      </w:r>
      <w:bookmarkEnd w:id="206"/>
    </w:p>
    <w:p w14:paraId="69F78F40">
      <w:pPr>
        <w:pStyle w:val="3"/>
        <w:bidi w:val="0"/>
      </w:pPr>
      <w:bookmarkStart w:id="207" w:name="_Toc19256"/>
      <w:bookmarkStart w:id="208" w:name="_Toc30972"/>
      <w:r>
        <w:rPr>
          <w:rFonts w:hint="eastAsia"/>
          <w:lang w:val="en-US" w:eastAsia="zh-CN"/>
        </w:rPr>
        <w:t>9</w:t>
      </w:r>
      <w:r>
        <w:rPr>
          <w:lang w:val="en-US" w:eastAsia="zh-CN"/>
        </w:rPr>
        <w:t xml:space="preserve">.1 </w:t>
      </w:r>
      <w:r>
        <w:rPr>
          <w:rFonts w:hint="eastAsia"/>
          <w:lang w:val="en-US" w:eastAsia="zh-CN"/>
        </w:rPr>
        <w:t>管理机构</w:t>
      </w:r>
      <w:bookmarkEnd w:id="207"/>
      <w:bookmarkEnd w:id="208"/>
      <w:r>
        <w:rPr>
          <w:rFonts w:hint="eastAsia"/>
          <w:lang w:val="en-US" w:eastAsia="zh-CN"/>
        </w:rPr>
        <w:t xml:space="preserve"> </w:t>
      </w:r>
    </w:p>
    <w:p w14:paraId="7C7699D9">
      <w:pPr>
        <w:rPr>
          <w:rFonts w:hint="eastAsia"/>
          <w:lang w:val="en-US" w:eastAsia="zh-CN"/>
        </w:rPr>
      </w:pPr>
      <w:r>
        <w:rPr>
          <w:rFonts w:hint="eastAsia"/>
        </w:rPr>
        <w:t>为确保高标准农田项目的顺利实施，需对项目工程进行全面跟踪管理，控制工期，建立高效精干的领导班子，有利于施工调度及高效运转。</w:t>
      </w:r>
    </w:p>
    <w:p w14:paraId="2CA62495">
      <w:pPr>
        <w:pStyle w:val="3"/>
        <w:bidi w:val="0"/>
      </w:pPr>
      <w:bookmarkStart w:id="209" w:name="_Toc17841"/>
      <w:bookmarkStart w:id="210" w:name="_Toc8244"/>
      <w:r>
        <w:rPr>
          <w:rFonts w:hint="eastAsia"/>
          <w:lang w:val="en-US" w:eastAsia="zh-CN"/>
        </w:rPr>
        <w:t>9</w:t>
      </w:r>
      <w:r>
        <w:rPr>
          <w:lang w:val="en-US" w:eastAsia="zh-CN"/>
        </w:rPr>
        <w:t xml:space="preserve">.2 </w:t>
      </w:r>
      <w:r>
        <w:rPr>
          <w:rFonts w:hint="eastAsia"/>
          <w:lang w:val="en-US" w:eastAsia="zh-CN"/>
        </w:rPr>
        <w:t>管理制度与措施</w:t>
      </w:r>
      <w:bookmarkEnd w:id="209"/>
      <w:bookmarkEnd w:id="210"/>
      <w:r>
        <w:rPr>
          <w:rFonts w:hint="eastAsia"/>
          <w:lang w:val="en-US" w:eastAsia="zh-CN"/>
        </w:rPr>
        <w:t xml:space="preserve"> </w:t>
      </w:r>
    </w:p>
    <w:p w14:paraId="75E1CE6F">
      <w:pPr>
        <w:pStyle w:val="4"/>
        <w:bidi w:val="0"/>
        <w:rPr>
          <w:rFonts w:hint="eastAsia"/>
          <w:lang w:val="en-US" w:eastAsia="zh-CN"/>
        </w:rPr>
      </w:pPr>
      <w:r>
        <w:rPr>
          <w:rFonts w:hint="eastAsia"/>
          <w:lang w:val="en-US" w:eastAsia="zh-CN"/>
        </w:rPr>
        <w:t xml:space="preserve">9.2.1 项目法人制度 </w:t>
      </w:r>
    </w:p>
    <w:p w14:paraId="753AB24C">
      <w:pPr>
        <w:bidi w:val="0"/>
        <w:rPr>
          <w:rFonts w:hint="eastAsia"/>
          <w:lang w:val="en-US" w:eastAsia="zh-CN"/>
        </w:rPr>
      </w:pPr>
      <w:r>
        <w:rPr>
          <w:rFonts w:hint="eastAsia"/>
          <w:lang w:val="en-US" w:eastAsia="zh-CN"/>
        </w:rPr>
        <w:t xml:space="preserve">项目法人是指项目的拥有者、投资者、使用者或最高决策者的统称。它可以是政府、企业或其他法人集团。项目法人对项目策划、资金筹措、建设实施、生产经营、债务偿还和资产保值增值全过程负责。 </w:t>
      </w:r>
    </w:p>
    <w:p w14:paraId="281C43D2">
      <w:pPr>
        <w:bidi w:val="0"/>
        <w:rPr>
          <w:rFonts w:hint="eastAsia"/>
          <w:lang w:val="en-US" w:eastAsia="zh-CN"/>
        </w:rPr>
      </w:pPr>
      <w:r>
        <w:rPr>
          <w:rFonts w:hint="eastAsia"/>
          <w:lang w:val="en-US" w:eastAsia="zh-CN"/>
        </w:rPr>
        <w:t>在</w:t>
      </w:r>
      <w:r>
        <w:rPr>
          <w:rFonts w:hint="eastAsia" w:asciiTheme="minorEastAsia" w:hAnsiTheme="minorEastAsia" w:eastAsiaTheme="minorEastAsia" w:cstheme="minorEastAsia"/>
          <w:i w:val="0"/>
          <w:iCs w:val="0"/>
          <w:color w:val="000000"/>
          <w:kern w:val="0"/>
          <w:sz w:val="24"/>
          <w:szCs w:val="24"/>
          <w:u w:val="none"/>
          <w:lang w:val="en-US" w:eastAsia="zh-CN" w:bidi="ar"/>
        </w:rPr>
        <w:t>昌江区</w:t>
      </w:r>
      <w:r>
        <w:rPr>
          <w:rFonts w:hint="eastAsia"/>
          <w:sz w:val="24"/>
          <w:szCs w:val="24"/>
          <w:lang w:val="en-US" w:eastAsia="zh-CN"/>
        </w:rPr>
        <w:t>农业农村水利局</w:t>
      </w:r>
      <w:r>
        <w:rPr>
          <w:rFonts w:hint="eastAsia"/>
          <w:lang w:val="en-US" w:eastAsia="zh-CN"/>
        </w:rPr>
        <w:t>下设置农田建设项目办，为项目一级法人。项目法人在建设工程项目中的法人职责：</w:t>
      </w:r>
    </w:p>
    <w:p w14:paraId="5ACD6023">
      <w:pPr>
        <w:bidi w:val="0"/>
        <w:rPr>
          <w:rFonts w:hint="eastAsia"/>
          <w:lang w:val="en-US" w:eastAsia="zh-CN"/>
        </w:rPr>
      </w:pPr>
      <w:r>
        <w:rPr>
          <w:rFonts w:hint="eastAsia"/>
          <w:lang w:val="en-US" w:eastAsia="zh-CN"/>
        </w:rPr>
        <w:t>（1）提出投资意向和项目目标；</w:t>
      </w:r>
    </w:p>
    <w:p w14:paraId="1ED3F1F2">
      <w:pPr>
        <w:bidi w:val="0"/>
        <w:rPr>
          <w:rFonts w:hint="eastAsia"/>
          <w:lang w:val="en-US" w:eastAsia="zh-CN"/>
        </w:rPr>
      </w:pPr>
      <w:r>
        <w:rPr>
          <w:rFonts w:hint="eastAsia"/>
          <w:lang w:val="en-US" w:eastAsia="zh-CN"/>
        </w:rPr>
        <w:t>（2）进行投资决策或项目建设决策；</w:t>
      </w:r>
    </w:p>
    <w:p w14:paraId="6D544982">
      <w:pPr>
        <w:bidi w:val="0"/>
        <w:rPr>
          <w:rFonts w:hint="eastAsia"/>
          <w:lang w:val="en-US" w:eastAsia="zh-CN"/>
        </w:rPr>
      </w:pPr>
      <w:r>
        <w:rPr>
          <w:rFonts w:hint="eastAsia"/>
          <w:lang w:val="en-US" w:eastAsia="zh-CN"/>
        </w:rPr>
        <w:t>（3）筹措资金；</w:t>
      </w:r>
    </w:p>
    <w:p w14:paraId="6602D074">
      <w:pPr>
        <w:bidi w:val="0"/>
        <w:rPr>
          <w:rFonts w:hint="eastAsia"/>
          <w:lang w:val="en-US" w:eastAsia="zh-CN"/>
        </w:rPr>
      </w:pPr>
      <w:r>
        <w:rPr>
          <w:rFonts w:hint="eastAsia"/>
          <w:lang w:val="en-US" w:eastAsia="zh-CN"/>
        </w:rPr>
        <w:t>（4）选择项目经理或监理工程师；</w:t>
      </w:r>
    </w:p>
    <w:p w14:paraId="76B992FA">
      <w:pPr>
        <w:bidi w:val="0"/>
        <w:rPr>
          <w:rFonts w:hint="eastAsia"/>
          <w:lang w:val="en-US" w:eastAsia="zh-CN"/>
        </w:rPr>
      </w:pPr>
      <w:r>
        <w:rPr>
          <w:rFonts w:hint="eastAsia"/>
          <w:lang w:val="en-US" w:eastAsia="zh-CN"/>
        </w:rPr>
        <w:t>（5）选择承包商或设备制造商；</w:t>
      </w:r>
    </w:p>
    <w:p w14:paraId="489D4A1D">
      <w:pPr>
        <w:bidi w:val="0"/>
        <w:rPr>
          <w:rFonts w:hint="eastAsia"/>
          <w:lang w:val="en-US" w:eastAsia="zh-CN"/>
        </w:rPr>
      </w:pPr>
      <w:r>
        <w:rPr>
          <w:rFonts w:hint="eastAsia"/>
          <w:lang w:val="en-US" w:eastAsia="zh-CN"/>
        </w:rPr>
        <w:t>（6）进行有关的合同谈判及签约；</w:t>
      </w:r>
    </w:p>
    <w:p w14:paraId="3C6E4E7C">
      <w:pPr>
        <w:bidi w:val="0"/>
        <w:rPr>
          <w:rFonts w:hint="eastAsia"/>
          <w:lang w:val="en-US" w:eastAsia="zh-CN"/>
        </w:rPr>
      </w:pPr>
      <w:r>
        <w:rPr>
          <w:rFonts w:hint="eastAsia"/>
          <w:lang w:val="en-US" w:eastAsia="zh-CN"/>
        </w:rPr>
        <w:t>（7）审批有关的设计及施工计划；</w:t>
      </w:r>
    </w:p>
    <w:p w14:paraId="44498A0A">
      <w:pPr>
        <w:bidi w:val="0"/>
        <w:rPr>
          <w:rFonts w:hint="eastAsia"/>
          <w:lang w:val="en-US" w:eastAsia="zh-CN"/>
        </w:rPr>
      </w:pPr>
      <w:r>
        <w:rPr>
          <w:rFonts w:hint="eastAsia"/>
          <w:lang w:val="en-US" w:eastAsia="zh-CN"/>
        </w:rPr>
        <w:t xml:space="preserve">（8）支付有关费用。 </w:t>
      </w:r>
    </w:p>
    <w:p w14:paraId="02E925F2">
      <w:pPr>
        <w:pStyle w:val="4"/>
        <w:bidi w:val="0"/>
        <w:rPr>
          <w:rFonts w:hint="eastAsia"/>
          <w:lang w:val="en-US" w:eastAsia="zh-CN"/>
        </w:rPr>
      </w:pPr>
      <w:r>
        <w:rPr>
          <w:rFonts w:hint="eastAsia"/>
          <w:lang w:val="en-US" w:eastAsia="zh-CN"/>
        </w:rPr>
        <w:t xml:space="preserve">9.2.2 工程招投标制度和管理办法 </w:t>
      </w:r>
    </w:p>
    <w:p w14:paraId="5E369CEC">
      <w:pPr>
        <w:bidi w:val="0"/>
        <w:rPr>
          <w:rFonts w:hint="eastAsia"/>
          <w:lang w:val="en-US" w:eastAsia="zh-CN"/>
        </w:rPr>
      </w:pPr>
      <w:r>
        <w:rPr>
          <w:rFonts w:hint="eastAsia"/>
          <w:lang w:val="en-US" w:eastAsia="zh-CN"/>
        </w:rPr>
        <w:t>招标与投标基本程序分为招标、投标、开标、评标、决标、中标签约六大阶段。本项目根据工程规模、施工特点及相关规定，采用邀请招标（邀标）方式实施，各阶段具体执行要求如下：</w:t>
      </w:r>
    </w:p>
    <w:p w14:paraId="5521F93B">
      <w:pPr>
        <w:bidi w:val="0"/>
        <w:rPr>
          <w:rFonts w:hint="eastAsia"/>
          <w:lang w:val="en-US" w:eastAsia="zh-CN"/>
        </w:rPr>
      </w:pPr>
      <w:r>
        <w:rPr>
          <w:rFonts w:hint="eastAsia"/>
          <w:lang w:val="en-US" w:eastAsia="zh-CN"/>
        </w:rPr>
        <w:t>一、招标阶段</w:t>
      </w:r>
    </w:p>
    <w:p w14:paraId="1F89A33D">
      <w:pPr>
        <w:bidi w:val="0"/>
        <w:rPr>
          <w:rFonts w:hint="eastAsia"/>
          <w:lang w:val="en-US" w:eastAsia="zh-CN"/>
        </w:rPr>
      </w:pPr>
      <w:r>
        <w:rPr>
          <w:rFonts w:hint="eastAsia"/>
          <w:lang w:val="en-US" w:eastAsia="zh-CN"/>
        </w:rPr>
        <w:t>本项目不发布公开招标公告，由昌江区高标办对工程建设内容逐项分解，经项目领导小组审核批复后，择优向 3 家及以上具备相应资质、履约能力良好的潜在投标人发出投标邀请书及招标文件，明确项目建设范围、技术标准、工期要求、报价规则等全部招标约束条件。</w:t>
      </w:r>
    </w:p>
    <w:p w14:paraId="13A20464">
      <w:pPr>
        <w:bidi w:val="0"/>
        <w:rPr>
          <w:rFonts w:hint="eastAsia"/>
          <w:lang w:val="en-US" w:eastAsia="zh-CN"/>
        </w:rPr>
      </w:pPr>
      <w:r>
        <w:rPr>
          <w:rFonts w:hint="eastAsia"/>
          <w:lang w:val="en-US" w:eastAsia="zh-CN"/>
        </w:rPr>
        <w:t>二、投标阶段</w:t>
      </w:r>
    </w:p>
    <w:p w14:paraId="4A65571F">
      <w:pPr>
        <w:bidi w:val="0"/>
        <w:rPr>
          <w:rFonts w:hint="eastAsia"/>
          <w:lang w:val="en-US" w:eastAsia="zh-CN"/>
        </w:rPr>
      </w:pPr>
      <w:r>
        <w:rPr>
          <w:rFonts w:hint="eastAsia"/>
          <w:lang w:val="en-US" w:eastAsia="zh-CN"/>
        </w:rPr>
        <w:t>受邀投标人收到招标文件后，全面研读标书技术条款、商务要求、履约责任等全部内容，结合自身施工实力、成本测算编制投标方案，坚持量力而行、合理报价。按招标文件规定完整编制投标文件，在约定截止时限内密封送达招标人，并按要求足额缴纳投标保证金或提交履约保函。</w:t>
      </w:r>
    </w:p>
    <w:p w14:paraId="3E52BF3D">
      <w:pPr>
        <w:bidi w:val="0"/>
        <w:rPr>
          <w:rFonts w:hint="eastAsia"/>
          <w:lang w:val="en-US" w:eastAsia="zh-CN"/>
        </w:rPr>
      </w:pPr>
      <w:r>
        <w:rPr>
          <w:rFonts w:hint="eastAsia"/>
          <w:lang w:val="en-US" w:eastAsia="zh-CN"/>
        </w:rPr>
        <w:t>三、开标、评标与决标阶段</w:t>
      </w:r>
    </w:p>
    <w:p w14:paraId="753A9622">
      <w:pPr>
        <w:bidi w:val="0"/>
        <w:rPr>
          <w:rFonts w:hint="eastAsia"/>
          <w:lang w:val="en-US" w:eastAsia="zh-CN"/>
        </w:rPr>
      </w:pPr>
      <w:r>
        <w:rPr>
          <w:rFonts w:hint="eastAsia"/>
          <w:lang w:val="en-US" w:eastAsia="zh-CN"/>
        </w:rPr>
        <w:t>开标环节：由招标人组织开标工作组开展开标工作，可邀请所有受邀投标人委派代表到场全程监督，依规当众拆封投标文件，宣读各投标人投标报价、工期、服务承诺等核心内容；</w:t>
      </w:r>
    </w:p>
    <w:p w14:paraId="3388349D">
      <w:pPr>
        <w:bidi w:val="0"/>
        <w:rPr>
          <w:rFonts w:hint="eastAsia"/>
          <w:lang w:val="en-US" w:eastAsia="zh-CN"/>
        </w:rPr>
      </w:pPr>
      <w:r>
        <w:rPr>
          <w:rFonts w:hint="eastAsia"/>
          <w:lang w:val="en-US" w:eastAsia="zh-CN"/>
        </w:rPr>
        <w:t>评标环节：针对本高标准农田修复工程技术细节、现场施工条件等复杂因素，招标人依法组建评标小组，对标书技术方案、施工组织、报价合理性、过往同类项目业绩进行综合评审打分；</w:t>
      </w:r>
    </w:p>
    <w:p w14:paraId="149AFBA4">
      <w:pPr>
        <w:bidi w:val="0"/>
        <w:rPr>
          <w:rFonts w:hint="eastAsia"/>
          <w:lang w:val="en-US" w:eastAsia="zh-CN"/>
        </w:rPr>
      </w:pPr>
      <w:r>
        <w:rPr>
          <w:rFonts w:hint="eastAsia"/>
          <w:lang w:val="en-US" w:eastAsia="zh-CN"/>
        </w:rPr>
        <w:t>决标与处置：评标完成后出具评标报告，推荐排序中标候选人，上报项目领导小组复核审定最终中标单位；若经评审所有投标文件均不满足项目建设要求，可依法宣布本次邀请招标失败，重新组织招标工作。</w:t>
      </w:r>
    </w:p>
    <w:p w14:paraId="360AAD91">
      <w:pPr>
        <w:bidi w:val="0"/>
        <w:rPr>
          <w:rFonts w:hint="eastAsia"/>
          <w:lang w:val="en-US" w:eastAsia="zh-CN"/>
        </w:rPr>
      </w:pPr>
      <w:r>
        <w:rPr>
          <w:rFonts w:hint="eastAsia"/>
          <w:lang w:val="en-US" w:eastAsia="zh-CN"/>
        </w:rPr>
        <w:t>四、中标签约与内控管理</w:t>
      </w:r>
    </w:p>
    <w:p w14:paraId="3F03E687">
      <w:pPr>
        <w:bidi w:val="0"/>
        <w:rPr>
          <w:rFonts w:hint="eastAsia"/>
          <w:lang w:val="en-US" w:eastAsia="zh-CN"/>
        </w:rPr>
      </w:pPr>
      <w:r>
        <w:rPr>
          <w:rFonts w:hint="eastAsia"/>
          <w:lang w:val="en-US" w:eastAsia="zh-CN"/>
        </w:rPr>
        <w:t>项目全过程严格遵循公开、公平、公正招投标基本原则，由区高标办全程把控招标流程，杜绝暗箱操作，筑牢工程质量管控防线。通过邀请招标的竞争性遴选机制择优确定施工单位，以市场化竞争约束施工履约标准，切实保障高标准农田损毁修复项目规范落地、高效实施。</w:t>
      </w:r>
    </w:p>
    <w:p w14:paraId="16982899">
      <w:pPr>
        <w:pStyle w:val="4"/>
        <w:bidi w:val="0"/>
        <w:rPr>
          <w:rFonts w:hint="eastAsia"/>
          <w:lang w:val="en-US" w:eastAsia="zh-CN"/>
        </w:rPr>
      </w:pPr>
      <w:r>
        <w:rPr>
          <w:rFonts w:hint="eastAsia"/>
          <w:lang w:val="en-US" w:eastAsia="zh-CN"/>
        </w:rPr>
        <w:t xml:space="preserve">9.2.3 建设工程监理制度和管理办法 </w:t>
      </w:r>
    </w:p>
    <w:p w14:paraId="409FAB73">
      <w:pPr>
        <w:bidi w:val="0"/>
        <w:rPr>
          <w:rFonts w:hint="eastAsia"/>
          <w:lang w:val="en-US" w:eastAsia="zh-CN"/>
        </w:rPr>
      </w:pPr>
      <w:r>
        <w:rPr>
          <w:rFonts w:hint="eastAsia"/>
          <w:lang w:val="en-US" w:eastAsia="zh-CN"/>
        </w:rPr>
        <w:t xml:space="preserve">项目工程监理是监理单位在接受工程建设项目业主的委托和授权之后，根据项目建设的批准文件、有关法规和工程建设监理合同，所进行的旨在实现项目建设目标的微观管理活动。 </w:t>
      </w:r>
    </w:p>
    <w:p w14:paraId="2CBBCB01">
      <w:pPr>
        <w:bidi w:val="0"/>
        <w:rPr>
          <w:rFonts w:hint="eastAsia"/>
          <w:lang w:val="en-US" w:eastAsia="zh-CN"/>
        </w:rPr>
      </w:pPr>
      <w:r>
        <w:rPr>
          <w:rFonts w:hint="eastAsia"/>
          <w:lang w:val="en-US" w:eastAsia="zh-CN"/>
        </w:rPr>
        <w:t xml:space="preserve">工程建设监理起到制约、参与、预防、反馈及促进作用。 </w:t>
      </w:r>
    </w:p>
    <w:p w14:paraId="126D48FD">
      <w:pPr>
        <w:bidi w:val="0"/>
        <w:rPr>
          <w:rFonts w:hint="eastAsia"/>
          <w:lang w:val="en-US" w:eastAsia="zh-CN"/>
        </w:rPr>
      </w:pPr>
      <w:r>
        <w:rPr>
          <w:rFonts w:hint="eastAsia"/>
          <w:lang w:val="en-US" w:eastAsia="zh-CN"/>
        </w:rPr>
        <w:t xml:space="preserve">工程监理的内容在项目运行过程的不同阶段是不同的，包括施工招标阶段监理、施工阶段监理、运营阶段监理。 </w:t>
      </w:r>
    </w:p>
    <w:p w14:paraId="395B33BA">
      <w:pPr>
        <w:bidi w:val="0"/>
        <w:rPr>
          <w:rFonts w:hint="eastAsia"/>
          <w:lang w:val="en-US" w:eastAsia="zh-CN"/>
        </w:rPr>
      </w:pPr>
      <w:r>
        <w:rPr>
          <w:rFonts w:hint="eastAsia"/>
          <w:lang w:val="en-US" w:eastAsia="zh-CN"/>
        </w:rPr>
        <w:t xml:space="preserve">本项目法人通过招投标，委托具备相应资质的监理单位，对该项目进行监理。监理单位依据国家有关工程建设的法律法规和批准的项目建设文件，工程建设合同以及工程建设监理合同，代表建设方对工程实行监管，按照合同控制工程建设的投资、工期和质量，协调有关各方的工作关系，使工程建设顺利进行。工程监理是实现项目有效管理、控制和协调的重要手段之一。 </w:t>
      </w:r>
    </w:p>
    <w:p w14:paraId="77F89994">
      <w:pPr>
        <w:pStyle w:val="4"/>
        <w:bidi w:val="0"/>
        <w:rPr>
          <w:rFonts w:hint="eastAsia"/>
          <w:lang w:val="en-US" w:eastAsia="zh-CN"/>
        </w:rPr>
      </w:pPr>
      <w:r>
        <w:rPr>
          <w:rFonts w:hint="eastAsia"/>
          <w:lang w:val="en-US" w:eastAsia="zh-CN"/>
        </w:rPr>
        <w:t xml:space="preserve">9.2.4 工程质量检查验收制度和管理办法 </w:t>
      </w:r>
    </w:p>
    <w:p w14:paraId="663A2F84">
      <w:pPr>
        <w:bidi w:val="0"/>
        <w:rPr>
          <w:rFonts w:hint="eastAsia"/>
          <w:lang w:val="en-US" w:eastAsia="zh-CN"/>
        </w:rPr>
      </w:pPr>
      <w:r>
        <w:rPr>
          <w:rFonts w:hint="eastAsia"/>
          <w:lang w:val="en-US" w:eastAsia="zh-CN"/>
        </w:rPr>
        <w:t xml:space="preserve">（1）项目竣工后，实施单位对照招投标和实施方案内容及批复要求进行自查自验，认为已经达到验收标准后，向项目所在区农业农村水利局提出验收申请。 </w:t>
      </w:r>
    </w:p>
    <w:p w14:paraId="145B98C7">
      <w:pPr>
        <w:bidi w:val="0"/>
        <w:rPr>
          <w:rFonts w:hint="eastAsia"/>
          <w:lang w:val="en-US" w:eastAsia="zh-CN"/>
        </w:rPr>
      </w:pPr>
      <w:r>
        <w:rPr>
          <w:rFonts w:hint="eastAsia"/>
          <w:lang w:val="en-US" w:eastAsia="zh-CN"/>
        </w:rPr>
        <w:t xml:space="preserve">（2）项目区向地（市）、省提出验收申请时，应满足如下要求： </w:t>
      </w:r>
    </w:p>
    <w:p w14:paraId="5FF6F804">
      <w:pPr>
        <w:bidi w:val="0"/>
        <w:rPr>
          <w:rFonts w:hint="eastAsia"/>
          <w:lang w:val="en-US" w:eastAsia="zh-CN"/>
        </w:rPr>
      </w:pPr>
      <w:r>
        <w:rPr>
          <w:rFonts w:hint="eastAsia"/>
          <w:lang w:val="en-US" w:eastAsia="zh-CN"/>
        </w:rPr>
        <w:t xml:space="preserve">1）严格按实施方案批复内容实施建设，项目建设任务按时完成。 </w:t>
      </w:r>
    </w:p>
    <w:p w14:paraId="3E481C1B">
      <w:pPr>
        <w:bidi w:val="0"/>
        <w:rPr>
          <w:rFonts w:hint="eastAsia"/>
          <w:lang w:val="en-US" w:eastAsia="zh-CN"/>
        </w:rPr>
      </w:pPr>
      <w:r>
        <w:rPr>
          <w:rFonts w:hint="eastAsia"/>
          <w:lang w:val="en-US" w:eastAsia="zh-CN"/>
        </w:rPr>
        <w:t xml:space="preserve">2）工程设计、施工质量符合国家和行业标准。 </w:t>
      </w:r>
    </w:p>
    <w:p w14:paraId="43129CFC">
      <w:pPr>
        <w:bidi w:val="0"/>
        <w:rPr>
          <w:rFonts w:hint="eastAsia"/>
          <w:lang w:val="en-US" w:eastAsia="zh-CN"/>
        </w:rPr>
      </w:pPr>
      <w:r>
        <w:rPr>
          <w:rFonts w:hint="eastAsia"/>
          <w:lang w:val="en-US" w:eastAsia="zh-CN"/>
        </w:rPr>
        <w:t xml:space="preserve">3）满足与中央、地方资金配套要求，并根据年度计划需求及时到位。 </w:t>
      </w:r>
    </w:p>
    <w:p w14:paraId="171858FD">
      <w:pPr>
        <w:bidi w:val="0"/>
        <w:rPr>
          <w:rFonts w:hint="eastAsia"/>
          <w:lang w:val="en-US" w:eastAsia="zh-CN"/>
        </w:rPr>
      </w:pPr>
      <w:r>
        <w:rPr>
          <w:rFonts w:hint="eastAsia"/>
          <w:lang w:val="en-US" w:eastAsia="zh-CN"/>
        </w:rPr>
        <w:t xml:space="preserve">4）资金使用、管理规章制度健全，做到专户存储、专款专用，财务资料齐全，并提供由区审计部门出具的决算审计报告。 </w:t>
      </w:r>
    </w:p>
    <w:p w14:paraId="544249ED">
      <w:pPr>
        <w:bidi w:val="0"/>
        <w:rPr>
          <w:rFonts w:hint="eastAsia"/>
          <w:lang w:val="en-US" w:eastAsia="zh-CN"/>
        </w:rPr>
      </w:pPr>
      <w:r>
        <w:rPr>
          <w:rFonts w:hint="eastAsia"/>
          <w:lang w:val="en-US" w:eastAsia="zh-CN"/>
        </w:rPr>
        <w:t xml:space="preserve">5）在工程建设过程中，积极推行“四制”（项目法人责任制、招标投标制和建设监理制、合同制管理）制定行之有效的管理办法、取得了较好的效果和经验。 </w:t>
      </w:r>
    </w:p>
    <w:p w14:paraId="30832EC6">
      <w:pPr>
        <w:bidi w:val="0"/>
        <w:rPr>
          <w:rFonts w:hint="eastAsia"/>
          <w:lang w:val="en-US" w:eastAsia="zh-CN"/>
        </w:rPr>
      </w:pPr>
      <w:r>
        <w:rPr>
          <w:rFonts w:hint="eastAsia"/>
          <w:lang w:val="en-US" w:eastAsia="zh-CN"/>
        </w:rPr>
        <w:t xml:space="preserve">6）工程建成后能实行项目管理责任制，及时明确工程管护组织，并建立健全行之有效的运行管理机制。 </w:t>
      </w:r>
    </w:p>
    <w:p w14:paraId="3D752539">
      <w:pPr>
        <w:bidi w:val="0"/>
        <w:rPr>
          <w:rFonts w:hint="eastAsia"/>
          <w:lang w:val="en-US" w:eastAsia="zh-CN"/>
        </w:rPr>
      </w:pPr>
      <w:r>
        <w:rPr>
          <w:rFonts w:hint="eastAsia"/>
          <w:lang w:val="en-US" w:eastAsia="zh-CN"/>
        </w:rPr>
        <w:t>7）项目建设工作总结，工作总结内容客观、翔实，总结成绩、经验及教训有深度，对今后工作有很好的指导意义</w:t>
      </w:r>
    </w:p>
    <w:p w14:paraId="53CBDB64">
      <w:pPr>
        <w:bidi w:val="0"/>
        <w:rPr>
          <w:rFonts w:hint="eastAsia"/>
          <w:lang w:val="en-US" w:eastAsia="zh-CN"/>
        </w:rPr>
      </w:pPr>
      <w:r>
        <w:rPr>
          <w:rFonts w:hint="eastAsia"/>
          <w:lang w:val="en-US" w:eastAsia="zh-CN"/>
        </w:rPr>
        <w:t xml:space="preserve">8）应提供如下资料： </w:t>
      </w:r>
    </w:p>
    <w:p w14:paraId="18921276">
      <w:pPr>
        <w:bidi w:val="0"/>
        <w:rPr>
          <w:rFonts w:hint="eastAsia"/>
          <w:lang w:val="en-US" w:eastAsia="zh-CN"/>
        </w:rPr>
      </w:pPr>
      <w:r>
        <w:rPr>
          <w:rFonts w:hint="eastAsia"/>
          <w:lang w:val="en-US" w:eastAsia="zh-CN"/>
        </w:rPr>
        <w:t xml:space="preserve">①项目工作总结及验收报告。 </w:t>
      </w:r>
    </w:p>
    <w:p w14:paraId="2232C3C1">
      <w:pPr>
        <w:bidi w:val="0"/>
        <w:rPr>
          <w:rFonts w:hint="eastAsia"/>
          <w:lang w:val="en-US" w:eastAsia="zh-CN"/>
        </w:rPr>
      </w:pPr>
      <w:r>
        <w:rPr>
          <w:rFonts w:hint="eastAsia"/>
          <w:lang w:val="en-US" w:eastAsia="zh-CN"/>
        </w:rPr>
        <w:t xml:space="preserve">②项目的农业财政资金项目申报标准文本、实施方案。 </w:t>
      </w:r>
    </w:p>
    <w:p w14:paraId="55DD10A9">
      <w:pPr>
        <w:bidi w:val="0"/>
        <w:rPr>
          <w:rFonts w:hint="eastAsia"/>
          <w:lang w:val="en-US" w:eastAsia="zh-CN"/>
        </w:rPr>
      </w:pPr>
      <w:r>
        <w:rPr>
          <w:rFonts w:hint="eastAsia"/>
          <w:lang w:val="en-US" w:eastAsia="zh-CN"/>
        </w:rPr>
        <w:t xml:space="preserve">③项目管理部门印发的有关表格内容。 </w:t>
      </w:r>
    </w:p>
    <w:p w14:paraId="49D5038C">
      <w:pPr>
        <w:bidi w:val="0"/>
        <w:rPr>
          <w:rFonts w:hint="eastAsia"/>
          <w:lang w:val="en-US" w:eastAsia="zh-CN"/>
        </w:rPr>
      </w:pPr>
      <w:r>
        <w:rPr>
          <w:rFonts w:hint="eastAsia"/>
          <w:lang w:val="en-US" w:eastAsia="zh-CN"/>
        </w:rPr>
        <w:t xml:space="preserve">④项目管理体制及运行机制。 </w:t>
      </w:r>
    </w:p>
    <w:p w14:paraId="5AD2597A">
      <w:pPr>
        <w:bidi w:val="0"/>
        <w:rPr>
          <w:rFonts w:hint="eastAsia"/>
          <w:lang w:val="en-US" w:eastAsia="zh-CN"/>
        </w:rPr>
      </w:pPr>
      <w:r>
        <w:rPr>
          <w:rFonts w:hint="eastAsia"/>
          <w:lang w:val="en-US" w:eastAsia="zh-CN"/>
        </w:rPr>
        <w:t xml:space="preserve">⑤建设工程前后照片、文字说明或录像。 </w:t>
      </w:r>
    </w:p>
    <w:p w14:paraId="618A58C8">
      <w:pPr>
        <w:pStyle w:val="4"/>
        <w:bidi w:val="0"/>
        <w:rPr>
          <w:rFonts w:hint="eastAsia"/>
          <w:lang w:val="en-US" w:eastAsia="zh-CN"/>
        </w:rPr>
      </w:pPr>
      <w:r>
        <w:rPr>
          <w:rFonts w:hint="eastAsia"/>
          <w:lang w:val="en-US" w:eastAsia="zh-CN"/>
        </w:rPr>
        <w:t xml:space="preserve">9.2.5 资金控制度和管理办法 </w:t>
      </w:r>
    </w:p>
    <w:p w14:paraId="69506F10">
      <w:pPr>
        <w:bidi w:val="0"/>
        <w:rPr>
          <w:rFonts w:hint="eastAsia"/>
          <w:lang w:val="en-US" w:eastAsia="zh-CN"/>
        </w:rPr>
      </w:pPr>
      <w:r>
        <w:rPr>
          <w:rFonts w:hint="eastAsia"/>
          <w:lang w:val="en-US" w:eastAsia="zh-CN"/>
        </w:rPr>
        <w:t xml:space="preserve">应定期检查项目资金收支管理情况，特别是对单独开设银行账户的项目应加强检查、监督，发现违反资金管理规定的应严肃处理，给企业造成损失的，应追究有关人员相应责任。 </w:t>
      </w:r>
    </w:p>
    <w:p w14:paraId="2D0B5FA5">
      <w:pPr>
        <w:bidi w:val="0"/>
        <w:rPr>
          <w:rFonts w:hint="eastAsia"/>
          <w:lang w:val="en-US" w:eastAsia="zh-CN"/>
        </w:rPr>
      </w:pPr>
      <w:r>
        <w:rPr>
          <w:rFonts w:hint="eastAsia"/>
          <w:lang w:val="en-US" w:eastAsia="zh-CN"/>
        </w:rPr>
        <w:t>项目资金分析是项目经济活动分析的重要内容。项目应于每月经济活动分析会时进行分析，通过对收支情况分析，及时发现项目资金管理中存在的问题，以便及时采取措施，管好用好资金，提高资金使用效益。</w:t>
      </w:r>
    </w:p>
    <w:p w14:paraId="2AB019A2">
      <w:pPr>
        <w:bidi w:val="0"/>
        <w:rPr>
          <w:rFonts w:hint="eastAsia"/>
          <w:lang w:val="en-US" w:eastAsia="zh-CN"/>
        </w:rPr>
      </w:pPr>
      <w:r>
        <w:rPr>
          <w:rFonts w:hint="eastAsia"/>
          <w:lang w:val="en-US" w:eastAsia="zh-CN"/>
        </w:rPr>
        <w:t xml:space="preserve">为加强项目资金管理，规范项目资金运作，提高资金使用效率，特制定本办法。项目资金管理的基本原则：集中管理、统一使用、以收定支、加快周转、开源节流、提高效益。项目资金管理实行“收支两条线”管理办法。即项目工程款回收后全额转入公司（本办法均指公司或分公司）账户，项目各项支出由公司按计划统一支付，零星支出实行定额备用金制度。对远离公司所在地单独开设银行账户的项目，则由公司根据审定的资金需用计划划拨给项目，由项目按计划支付。 </w:t>
      </w:r>
    </w:p>
    <w:p w14:paraId="12CE52B4">
      <w:pPr>
        <w:bidi w:val="0"/>
        <w:rPr>
          <w:rFonts w:hint="eastAsia"/>
          <w:lang w:val="en-US" w:eastAsia="zh-CN"/>
        </w:rPr>
      </w:pPr>
      <w:r>
        <w:rPr>
          <w:rFonts w:hint="eastAsia"/>
          <w:lang w:val="en-US" w:eastAsia="zh-CN"/>
        </w:rPr>
        <w:t xml:space="preserve">财务部门是本单位项目资金管理的职能部门，负责本单位项目资金回收及使用的日常工作，向本单位负责人负责，并接受上级主管部门的检查、监督。 </w:t>
      </w:r>
    </w:p>
    <w:p w14:paraId="5D9248A0">
      <w:pPr>
        <w:bidi w:val="0"/>
        <w:rPr>
          <w:rFonts w:hint="eastAsia"/>
          <w:lang w:val="en-US" w:eastAsia="zh-CN"/>
        </w:rPr>
      </w:pPr>
      <w:r>
        <w:rPr>
          <w:rFonts w:hint="eastAsia"/>
          <w:lang w:val="en-US" w:eastAsia="zh-CN"/>
        </w:rPr>
        <w:t xml:space="preserve">项目经理部是项目资金管理的直接责任单位，负责项目工程款回收与项目资金收支计划的编制。 </w:t>
      </w:r>
    </w:p>
    <w:p w14:paraId="40D111A4">
      <w:pPr>
        <w:bidi w:val="0"/>
        <w:rPr>
          <w:rFonts w:hint="eastAsia"/>
          <w:lang w:val="en-US" w:eastAsia="zh-CN"/>
        </w:rPr>
      </w:pPr>
      <w:r>
        <w:rPr>
          <w:rFonts w:hint="eastAsia"/>
          <w:lang w:val="en-US" w:eastAsia="zh-CN"/>
        </w:rPr>
        <w:t xml:space="preserve">（1）项目经理是项目工程款回收第一责任人，领导和管理项目资金工作，对项目资金回收、合理使用负责。 </w:t>
      </w:r>
    </w:p>
    <w:p w14:paraId="79FE27BB">
      <w:pPr>
        <w:bidi w:val="0"/>
        <w:rPr>
          <w:rFonts w:hint="eastAsia"/>
          <w:lang w:val="en-US" w:eastAsia="zh-CN"/>
        </w:rPr>
      </w:pPr>
      <w:r>
        <w:rPr>
          <w:rFonts w:hint="eastAsia"/>
          <w:lang w:val="en-US" w:eastAsia="zh-CN"/>
        </w:rPr>
        <w:t>（2）项目内业技术员（或预算员、统计员）负责在合同规定时间内完成对业主报量及工程进度款的申报，并催促业主在规定时间内审定，为项目回收工程款提供可靠依据</w:t>
      </w:r>
    </w:p>
    <w:p w14:paraId="0948D25C">
      <w:pPr>
        <w:bidi w:val="0"/>
        <w:rPr>
          <w:rFonts w:hint="eastAsia"/>
          <w:lang w:val="en-US" w:eastAsia="zh-CN"/>
        </w:rPr>
      </w:pPr>
      <w:r>
        <w:rPr>
          <w:rFonts w:hint="eastAsia"/>
          <w:lang w:val="en-US" w:eastAsia="zh-CN"/>
        </w:rPr>
        <w:t xml:space="preserve">（3）项目预算员负责编制和办理工程预结算、索赔、变更及签证等工作，协助项目内业技术员办理每月工程进度款和向业主报量的核对工作。 </w:t>
      </w:r>
    </w:p>
    <w:p w14:paraId="24D2FA6D">
      <w:pPr>
        <w:bidi w:val="0"/>
        <w:rPr>
          <w:rFonts w:hint="eastAsia"/>
          <w:lang w:val="en-US" w:eastAsia="zh-CN"/>
        </w:rPr>
      </w:pPr>
      <w:r>
        <w:rPr>
          <w:rFonts w:hint="eastAsia"/>
          <w:lang w:val="en-US" w:eastAsia="zh-CN"/>
        </w:rPr>
        <w:t xml:space="preserve">（4）项目成本员负责按月编制资金收支计划，并办理收取工程款相关手续。公司预算部门应及时解决涉及工程合同条款的争议问题，协助项目办理工程预结算、索赔、变更签证、工程进度款申报工作。 公司财务部门应及时收集了解业主资金动态信息，提供业主欠款有关数据，协助项目收取工程款，并平衡审定项目资金收支计划。 </w:t>
      </w:r>
    </w:p>
    <w:p w14:paraId="7293DC4F">
      <w:pPr>
        <w:pStyle w:val="4"/>
        <w:bidi w:val="0"/>
        <w:rPr>
          <w:rFonts w:hint="eastAsia"/>
          <w:lang w:val="en-US" w:eastAsia="zh-CN"/>
        </w:rPr>
      </w:pPr>
      <w:r>
        <w:rPr>
          <w:rFonts w:hint="eastAsia"/>
          <w:lang w:val="en-US" w:eastAsia="zh-CN"/>
        </w:rPr>
        <w:t xml:space="preserve">9.2.6 进度控制和管理办法 </w:t>
      </w:r>
    </w:p>
    <w:p w14:paraId="1DCE7AB5">
      <w:pPr>
        <w:bidi w:val="0"/>
        <w:rPr>
          <w:rFonts w:hint="eastAsia"/>
          <w:lang w:val="en-US" w:eastAsia="zh-CN"/>
        </w:rPr>
      </w:pPr>
      <w:r>
        <w:rPr>
          <w:rFonts w:hint="eastAsia"/>
          <w:lang w:val="en-US" w:eastAsia="zh-CN"/>
        </w:rPr>
        <w:t xml:space="preserve">建设工程项目进度控制的措施包括：项目进度控制的组织措施；项目进度控制的管理措施，措施涉及管理的思想、管理的方法、管理的手段、承发包模式、合同管理和风险管理等；项目进度控制的经济措施；项目进度控制的技术措施。 </w:t>
      </w:r>
    </w:p>
    <w:p w14:paraId="2008B0B9">
      <w:pPr>
        <w:bidi w:val="0"/>
        <w:rPr>
          <w:rFonts w:hint="eastAsia"/>
          <w:lang w:val="en-US" w:eastAsia="zh-CN"/>
        </w:rPr>
      </w:pPr>
      <w:r>
        <w:rPr>
          <w:rFonts w:hint="eastAsia"/>
          <w:lang w:val="en-US" w:eastAsia="zh-CN"/>
        </w:rPr>
        <w:t xml:space="preserve">（1）项目进度控制的组织措施 </w:t>
      </w:r>
    </w:p>
    <w:p w14:paraId="1A5078CA">
      <w:pPr>
        <w:bidi w:val="0"/>
        <w:rPr>
          <w:rFonts w:hint="eastAsia"/>
          <w:lang w:val="en-US" w:eastAsia="zh-CN"/>
        </w:rPr>
      </w:pPr>
      <w:r>
        <w:rPr>
          <w:rFonts w:hint="eastAsia"/>
          <w:lang w:val="en-US" w:eastAsia="zh-CN"/>
        </w:rPr>
        <w:t xml:space="preserve">在项目组织结构中应有专门的工作部门和符合进度控制岗位资格的专人负责进度控制工作。进度控制的主要工作环节包括进度目标的分析和论证、编制进度计划、定期跟踪进度计划的执行情况、采取纠偏措施，以及调整进度计划。应编制项目进度控制的工作流程，如：定义项目进度计划系统的组成；各类进度计划的编制程序、审批程序和计划调整程序等。进度控制工作包含了大量的组织和协调工作，而会议是组织协调的重要手段，应进行有关进度控制会议的组织设计。 </w:t>
      </w:r>
    </w:p>
    <w:p w14:paraId="20CCE379">
      <w:pPr>
        <w:bidi w:val="0"/>
        <w:rPr>
          <w:rFonts w:hint="eastAsia"/>
          <w:lang w:val="en-US" w:eastAsia="zh-CN"/>
        </w:rPr>
      </w:pPr>
      <w:r>
        <w:rPr>
          <w:rFonts w:hint="eastAsia"/>
          <w:lang w:val="en-US" w:eastAsia="zh-CN"/>
        </w:rPr>
        <w:t xml:space="preserve">（2）项目进度控制的管理措施 </w:t>
      </w:r>
    </w:p>
    <w:p w14:paraId="32AD5ACA">
      <w:pPr>
        <w:bidi w:val="0"/>
        <w:rPr>
          <w:rFonts w:hint="eastAsia"/>
          <w:lang w:val="en-US" w:eastAsia="zh-CN"/>
        </w:rPr>
      </w:pPr>
      <w:r>
        <w:rPr>
          <w:rFonts w:hint="eastAsia"/>
          <w:lang w:val="en-US" w:eastAsia="zh-CN"/>
        </w:rPr>
        <w:t xml:space="preserve">1）施工进度控制的管理措施涉及管理的思想、管理的方法、管理的手段、承发包模式、合同管理和风险管理等。 </w:t>
      </w:r>
    </w:p>
    <w:p w14:paraId="5EFFD12A">
      <w:pPr>
        <w:bidi w:val="0"/>
        <w:rPr>
          <w:rFonts w:hint="eastAsia"/>
          <w:lang w:val="en-US" w:eastAsia="zh-CN"/>
        </w:rPr>
      </w:pPr>
      <w:r>
        <w:rPr>
          <w:rFonts w:hint="eastAsia"/>
          <w:lang w:val="en-US" w:eastAsia="zh-CN"/>
        </w:rPr>
        <w:t xml:space="preserve">2）为了实现进度目标，应选择合理的合同结构，以避免过多的合同交界面而影响工程的进展，工程物资的采购模式对进度也有直接的影响，对此应做比较分析。 </w:t>
      </w:r>
    </w:p>
    <w:p w14:paraId="52319AA3">
      <w:pPr>
        <w:bidi w:val="0"/>
        <w:rPr>
          <w:rFonts w:hint="eastAsia"/>
          <w:lang w:val="en-US" w:eastAsia="zh-CN"/>
        </w:rPr>
      </w:pPr>
      <w:r>
        <w:rPr>
          <w:rFonts w:hint="eastAsia"/>
          <w:lang w:val="en-US" w:eastAsia="zh-CN"/>
        </w:rPr>
        <w:t xml:space="preserve">3）为实现进度目标，不但应进行进度控制，还应注意分析影响工程进度的风险，并在分析的基础上采取风险管理措施，以减少进度失控的风险量。 </w:t>
      </w:r>
    </w:p>
    <w:p w14:paraId="51F66648">
      <w:pPr>
        <w:bidi w:val="0"/>
        <w:rPr>
          <w:rFonts w:hint="eastAsia"/>
          <w:lang w:val="en-US" w:eastAsia="zh-CN"/>
        </w:rPr>
      </w:pPr>
      <w:r>
        <w:rPr>
          <w:rFonts w:hint="eastAsia"/>
          <w:lang w:val="en-US" w:eastAsia="zh-CN"/>
        </w:rPr>
        <w:t>4）应重视信息技术（包括相应的软件、局域网、互联网以及数据处理设备等）在进度控制中的应用。</w:t>
      </w:r>
    </w:p>
    <w:p w14:paraId="0456BD51">
      <w:pPr>
        <w:bidi w:val="0"/>
        <w:rPr>
          <w:rFonts w:hint="eastAsia"/>
          <w:lang w:val="en-US" w:eastAsia="zh-CN"/>
        </w:rPr>
      </w:pPr>
      <w:r>
        <w:rPr>
          <w:rFonts w:hint="eastAsia"/>
          <w:lang w:val="en-US" w:eastAsia="zh-CN"/>
        </w:rPr>
        <w:t xml:space="preserve">（3）项目进度控制的经济措施 </w:t>
      </w:r>
    </w:p>
    <w:p w14:paraId="0444C1A8">
      <w:pPr>
        <w:bidi w:val="0"/>
        <w:rPr>
          <w:rFonts w:hint="eastAsia"/>
          <w:lang w:val="en-US" w:eastAsia="zh-CN"/>
        </w:rPr>
      </w:pPr>
      <w:r>
        <w:rPr>
          <w:rFonts w:hint="eastAsia"/>
          <w:lang w:val="en-US" w:eastAsia="zh-CN"/>
        </w:rPr>
        <w:t xml:space="preserve">1）编制与进度计划相适应的资源需求计划（资源进度计划），包括资金需求计划和其他资源（人力和物力资源）需求计划，以反映工程施工的各时段所需要的资源。 </w:t>
      </w:r>
    </w:p>
    <w:p w14:paraId="6A482510">
      <w:pPr>
        <w:bidi w:val="0"/>
        <w:rPr>
          <w:rFonts w:hint="eastAsia"/>
          <w:lang w:val="en-US" w:eastAsia="zh-CN"/>
        </w:rPr>
      </w:pPr>
      <w:r>
        <w:rPr>
          <w:rFonts w:hint="eastAsia"/>
          <w:lang w:val="en-US" w:eastAsia="zh-CN"/>
        </w:rPr>
        <w:t xml:space="preserve">2）在编制工程成本计划时，应考虑加快工程进度所需要的资金，其中包括为实现施工进度目标将要采取的经济激励措施所需要的费用。 </w:t>
      </w:r>
    </w:p>
    <w:p w14:paraId="720FAEFB">
      <w:pPr>
        <w:bidi w:val="0"/>
        <w:rPr>
          <w:rFonts w:hint="eastAsia"/>
          <w:lang w:val="en-US" w:eastAsia="zh-CN"/>
        </w:rPr>
      </w:pPr>
      <w:r>
        <w:rPr>
          <w:rFonts w:hint="eastAsia"/>
          <w:lang w:val="en-US" w:eastAsia="zh-CN"/>
        </w:rPr>
        <w:t xml:space="preserve">（4）项目进度控制的技术措施 </w:t>
      </w:r>
    </w:p>
    <w:p w14:paraId="377113AD">
      <w:pPr>
        <w:bidi w:val="0"/>
        <w:rPr>
          <w:rFonts w:hint="eastAsia"/>
          <w:lang w:val="en-US" w:eastAsia="zh-CN"/>
        </w:rPr>
      </w:pPr>
      <w:r>
        <w:rPr>
          <w:rFonts w:hint="eastAsia"/>
          <w:lang w:val="en-US" w:eastAsia="zh-CN"/>
        </w:rPr>
        <w:t xml:space="preserve">1）在工程进度受阻时，应分析是否存在设计技术的影响因素，为实现进度目标有无设计变更的可能性。 </w:t>
      </w:r>
    </w:p>
    <w:p w14:paraId="452C41F6">
      <w:pPr>
        <w:bidi w:val="0"/>
        <w:rPr>
          <w:rFonts w:hint="eastAsia"/>
          <w:lang w:val="en-US" w:eastAsia="zh-CN"/>
        </w:rPr>
      </w:pPr>
      <w:r>
        <w:rPr>
          <w:rFonts w:hint="eastAsia"/>
          <w:lang w:val="en-US" w:eastAsia="zh-CN"/>
        </w:rPr>
        <w:t>2）在决策施工方案是否选用时，不仅应分析技术的先进性和经济合理性，还应考虑其对进度的影响。在工程进度受阻时，应分析是否存在施工技术的影响因素，为实现进度目标有无改变施工技术、施工方法和施工机械的可能性。</w:t>
      </w:r>
    </w:p>
    <w:p w14:paraId="095D5631">
      <w:pPr>
        <w:bidi w:val="0"/>
        <w:rPr>
          <w:rFonts w:hint="eastAsia"/>
          <w:lang w:val="en-US" w:eastAsia="zh-CN"/>
        </w:rPr>
      </w:pPr>
    </w:p>
    <w:p w14:paraId="45595CBA">
      <w:pPr>
        <w:bidi w:val="0"/>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14:paraId="311C32CB">
      <w:pPr>
        <w:pStyle w:val="2"/>
        <w:bidi w:val="0"/>
        <w:rPr>
          <w:rFonts w:hint="eastAsia"/>
          <w:lang w:val="en-US" w:eastAsia="zh-CN"/>
        </w:rPr>
      </w:pPr>
      <w:bookmarkStart w:id="211" w:name="_Toc30730"/>
      <w:r>
        <w:rPr>
          <w:rFonts w:hint="eastAsia"/>
          <w:lang w:val="en-US" w:eastAsia="zh-CN"/>
        </w:rPr>
        <w:t>第十章  建后管护与利用</w:t>
      </w:r>
      <w:bookmarkEnd w:id="211"/>
    </w:p>
    <w:p w14:paraId="27CF3A9A">
      <w:pPr>
        <w:pStyle w:val="3"/>
        <w:bidi w:val="0"/>
        <w:rPr>
          <w:rFonts w:hint="default"/>
          <w:lang w:val="en-US" w:eastAsia="zh-CN"/>
        </w:rPr>
      </w:pPr>
      <w:bookmarkStart w:id="212" w:name="_Toc4549"/>
      <w:r>
        <w:rPr>
          <w:rFonts w:hint="eastAsia"/>
          <w:lang w:val="en-US" w:eastAsia="zh-CN"/>
        </w:rPr>
        <w:t>10.1 建后管护</w:t>
      </w:r>
      <w:bookmarkEnd w:id="212"/>
    </w:p>
    <w:p w14:paraId="72604ED8">
      <w:pPr>
        <w:bidi w:val="0"/>
        <w:rPr>
          <w:rFonts w:ascii="宋体" w:hAnsi="宋体" w:eastAsia="宋体" w:cs="宋体"/>
          <w:sz w:val="24"/>
          <w:szCs w:val="24"/>
        </w:rPr>
      </w:pPr>
      <w:r>
        <w:rPr>
          <w:rFonts w:ascii="宋体" w:hAnsi="宋体" w:eastAsia="宋体" w:cs="宋体"/>
          <w:sz w:val="24"/>
          <w:szCs w:val="24"/>
        </w:rPr>
        <w:t>根据《江西省统筹整合资金推进高标准农田建设项目建后管护指导意见》，以习近平新时代中国特色社会主义思想为指导，全面贯彻党的二十大及二十届历次全会、省委十五届历次全会精神，完整、准确、全面贯彻新发展理念，深入实施乡村振兴战略和 “藏粮于地、藏粮于技” 重大战略。坚持建管并重，健全管护制度，强化源头风险防控与全过程监督考核，切实推动高标准农田建后管护工作全域化、常态化、长效化运行。</w:t>
      </w:r>
    </w:p>
    <w:p w14:paraId="2E1AE85E">
      <w:pPr>
        <w:bidi w:val="0"/>
        <w:rPr>
          <w:rFonts w:hint="eastAsia"/>
          <w:lang w:val="en-US" w:eastAsia="zh-CN"/>
        </w:rPr>
      </w:pPr>
      <w:r>
        <w:rPr>
          <w:rFonts w:hint="eastAsia"/>
          <w:lang w:val="en-US" w:eastAsia="zh-CN"/>
        </w:rPr>
        <w:t xml:space="preserve">建立健全“区负总责、乡镇监管、村为主体”的建后管护机制，压实高标准农田建后管护责任，实现“五有三确保”目标，即高标准农田建后管护有主体、有人员、有资金、有标准、有考核，确保项目建设农田全部纳入管护范围，确保建成的农田工程设施定期维护，确保建成的农田长久持续发挥效益。 </w:t>
      </w:r>
    </w:p>
    <w:p w14:paraId="25647D70">
      <w:pPr>
        <w:bidi w:val="0"/>
        <w:rPr>
          <w:rFonts w:hint="eastAsia"/>
          <w:lang w:val="en-US" w:eastAsia="zh-CN"/>
        </w:rPr>
      </w:pPr>
      <w:r>
        <w:rPr>
          <w:rFonts w:hint="eastAsia"/>
          <w:lang w:val="en-US" w:eastAsia="zh-CN"/>
        </w:rPr>
        <w:t xml:space="preserve">工程是基础，管理是关键。为实施好昌江区高标准农田损毁设施集中修复项目，全面完成项目建设任务和粮食增产任务，工程项目的实施应杜绝“重建轻管”的现象。 </w:t>
      </w:r>
    </w:p>
    <w:p w14:paraId="3680557B">
      <w:pPr>
        <w:pStyle w:val="4"/>
        <w:bidi w:val="0"/>
        <w:rPr>
          <w:rFonts w:hint="eastAsia"/>
          <w:lang w:val="en-US" w:eastAsia="zh-CN"/>
        </w:rPr>
      </w:pPr>
      <w:r>
        <w:rPr>
          <w:rFonts w:hint="eastAsia"/>
          <w:lang w:val="en-US" w:eastAsia="zh-CN"/>
        </w:rPr>
        <w:t xml:space="preserve">10.1.1 主要任务 </w:t>
      </w:r>
    </w:p>
    <w:p w14:paraId="684EBC45">
      <w:pPr>
        <w:bidi w:val="0"/>
        <w:rPr>
          <w:rFonts w:hint="eastAsia"/>
          <w:lang w:val="en-US" w:eastAsia="zh-CN"/>
        </w:rPr>
      </w:pPr>
      <w:r>
        <w:rPr>
          <w:rFonts w:hint="eastAsia"/>
          <w:lang w:val="en-US" w:eastAsia="zh-CN"/>
        </w:rPr>
        <w:t xml:space="preserve">（1）夯实管护基础。牢固树立抓项目工程质量就是保管护的思想。在项目设计阶段，鼓励采用质量过硬、生态环保的新材料、新工艺、新技术，设计方案要方便农机下田。在项目施工阶段，监督施工企业严格落实设计要求和工艺流程，抓牢项目工程施工关键环节。在项目验收阶段，严把工程质量关，确保工程质量达到高标准农田建设规范要求，从源头上夯实管护基础，减轻后期管护投入。 </w:t>
      </w:r>
    </w:p>
    <w:p w14:paraId="52EECC81">
      <w:pPr>
        <w:bidi w:val="0"/>
        <w:rPr>
          <w:rFonts w:hint="eastAsia"/>
          <w:lang w:val="en-US" w:eastAsia="zh-CN"/>
        </w:rPr>
      </w:pPr>
      <w:r>
        <w:rPr>
          <w:rFonts w:hint="eastAsia"/>
          <w:lang w:val="en-US" w:eastAsia="zh-CN"/>
        </w:rPr>
        <w:t xml:space="preserve">（2）界定管护范围。在工程设计使用年限内，重点加强项目田间道路、灌排系统的管护，确保项目区田间道路完好通达、灌排通畅、各类设施及配套设施完好并能正常发挥作用。 </w:t>
      </w:r>
    </w:p>
    <w:p w14:paraId="16DAEF1B">
      <w:pPr>
        <w:bidi w:val="0"/>
        <w:rPr>
          <w:rFonts w:hint="eastAsia"/>
          <w:lang w:val="en-US" w:eastAsia="zh-CN"/>
        </w:rPr>
      </w:pPr>
      <w:r>
        <w:rPr>
          <w:rFonts w:hint="eastAsia"/>
          <w:lang w:val="en-US" w:eastAsia="zh-CN"/>
        </w:rPr>
        <w:t xml:space="preserve">（3）严格管护标准。制定高标准农田建后管护制度，严格建后管护标准要求。机耕路管护要维持路面平整，无杂草，无杂物，保持畅通，标志保持完好无损，清洁卫生。水利设施要定期检查，确保涵、进出水口设施完好，保证正常运行，渠道要及时除草，疏浚。 </w:t>
      </w:r>
    </w:p>
    <w:p w14:paraId="4B04E873">
      <w:pPr>
        <w:bidi w:val="0"/>
        <w:rPr>
          <w:rFonts w:hint="eastAsia"/>
          <w:lang w:val="en-US" w:eastAsia="zh-CN"/>
        </w:rPr>
      </w:pPr>
      <w:r>
        <w:rPr>
          <w:rFonts w:hint="eastAsia"/>
          <w:lang w:val="en-US" w:eastAsia="zh-CN"/>
        </w:rPr>
        <w:t>（4）落实管护主体。</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 xml:space="preserve">级人民政府对建后管护负总责，项目所在乡（镇）人民政府是建后管护监管主体。高标准农田项目竣工验收后，一个月内落实建后管护实施主体，并办理工程管护手续。已规模流转的高标准农田，取得土地经营权的专业大户、家庭农场、专业合作社、农业企业等新型农业经营主体为管护实施主体；未流转的高标准农田，所在村委会为管护实施主体。 </w:t>
      </w:r>
    </w:p>
    <w:p w14:paraId="7D465EB7">
      <w:pPr>
        <w:bidi w:val="0"/>
        <w:rPr>
          <w:rFonts w:hint="eastAsia"/>
          <w:lang w:val="en-US" w:eastAsia="zh-CN"/>
        </w:rPr>
      </w:pPr>
      <w:r>
        <w:rPr>
          <w:rFonts w:hint="eastAsia"/>
          <w:lang w:val="en-US" w:eastAsia="zh-CN"/>
        </w:rPr>
        <w:t xml:space="preserve">（5）选定管护人员。高标准农田建成后已规模流转的，由取得土地经营权的新型农业经营主体自行选定管护人员。高标准农田建成后未流转的，由村委会负责选定管护人员，并与管护人员签订管护合同。村委会选定管护人员数量，根据管护面积及任务情况酌情确定。村委会可从村组干部和有一定农田设施管理经验的村民中择优选择，在同等条件下优先选择有劳动能力的建档立卡贫困户。同时，各地可结合实际，积极探索委托代管、第三方购买服务等管护新模式。 </w:t>
      </w:r>
    </w:p>
    <w:p w14:paraId="4A7C5ED3">
      <w:pPr>
        <w:bidi w:val="0"/>
        <w:rPr>
          <w:rFonts w:hint="eastAsia"/>
          <w:lang w:val="en-US" w:eastAsia="zh-CN"/>
        </w:rPr>
      </w:pPr>
      <w:r>
        <w:rPr>
          <w:rFonts w:hint="eastAsia"/>
          <w:lang w:val="en-US" w:eastAsia="zh-CN"/>
        </w:rPr>
        <w:t xml:space="preserve">（6）明确管护责任。日常管护工作由管护人员承担，包括日常巡视检查，中小沟渠日常清淤，防范农村道路超标车辆通行等。专项管护工作由管护实施主体负责，主要对较大规模的沟渠进行维修清淤、道路修整等。因施工质量不达标导致的毁损，在质量保证期内由施工单位负责整改和维修；因机械作业或人为故意损坏的，按照“谁破坏、谁维修”的原则，由管护实施主体责成损坏人予以修复或缴纳维修费。 </w:t>
      </w:r>
    </w:p>
    <w:p w14:paraId="134281D6">
      <w:pPr>
        <w:pStyle w:val="4"/>
        <w:bidi w:val="0"/>
        <w:rPr>
          <w:rFonts w:hint="eastAsia"/>
          <w:lang w:val="en-US" w:eastAsia="zh-CN"/>
        </w:rPr>
      </w:pPr>
      <w:r>
        <w:rPr>
          <w:rFonts w:hint="eastAsia"/>
          <w:lang w:val="en-US" w:eastAsia="zh-CN"/>
        </w:rPr>
        <w:t>10.1.2 管护对象</w:t>
      </w:r>
    </w:p>
    <w:p w14:paraId="5C9014B9">
      <w:pPr>
        <w:bidi w:val="0"/>
        <w:rPr>
          <w:rFonts w:hint="eastAsia"/>
          <w:lang w:val="en-US" w:eastAsia="zh-CN"/>
        </w:rPr>
      </w:pPr>
      <w:r>
        <w:rPr>
          <w:rFonts w:hint="eastAsia"/>
          <w:lang w:val="en-US" w:eastAsia="zh-CN"/>
        </w:rPr>
        <w:t xml:space="preserve">（1）渠道工程：农渠、斗渠等。 </w:t>
      </w:r>
    </w:p>
    <w:p w14:paraId="71748408">
      <w:pPr>
        <w:bidi w:val="0"/>
        <w:rPr>
          <w:rFonts w:hint="eastAsia"/>
          <w:lang w:val="en-US" w:eastAsia="zh-CN"/>
        </w:rPr>
      </w:pPr>
      <w:r>
        <w:rPr>
          <w:rFonts w:hint="eastAsia"/>
          <w:lang w:val="en-US" w:eastAsia="zh-CN"/>
        </w:rPr>
        <w:t xml:space="preserve">（2）建筑物工程：盖板涵。 </w:t>
      </w:r>
    </w:p>
    <w:p w14:paraId="119EDD0C">
      <w:pPr>
        <w:bidi w:val="0"/>
        <w:rPr>
          <w:rFonts w:hint="eastAsia"/>
          <w:lang w:val="en-US" w:eastAsia="zh-CN"/>
        </w:rPr>
      </w:pPr>
      <w:r>
        <w:rPr>
          <w:rFonts w:hint="eastAsia"/>
          <w:lang w:val="en-US" w:eastAsia="zh-CN"/>
        </w:rPr>
        <w:t xml:space="preserve">（3）田间道路工程：机耕道等。 </w:t>
      </w:r>
    </w:p>
    <w:p w14:paraId="46C22DA9">
      <w:pPr>
        <w:bidi w:val="0"/>
        <w:rPr>
          <w:rFonts w:hint="eastAsia"/>
          <w:lang w:val="en-US" w:eastAsia="zh-CN"/>
        </w:rPr>
      </w:pPr>
      <w:r>
        <w:rPr>
          <w:rFonts w:hint="eastAsia"/>
          <w:lang w:val="en-US" w:eastAsia="zh-CN"/>
        </w:rPr>
        <w:t xml:space="preserve">（4）对省高标准农田办规定的其他内容进行管护。 </w:t>
      </w:r>
    </w:p>
    <w:p w14:paraId="1FA7822A">
      <w:pPr>
        <w:pStyle w:val="4"/>
        <w:bidi w:val="0"/>
        <w:rPr>
          <w:rFonts w:hint="eastAsia"/>
          <w:lang w:val="en-US" w:eastAsia="zh-CN"/>
        </w:rPr>
      </w:pPr>
      <w:r>
        <w:rPr>
          <w:rFonts w:hint="eastAsia"/>
          <w:lang w:val="en-US" w:eastAsia="zh-CN"/>
        </w:rPr>
        <w:t xml:space="preserve">10.1.3 管护主体 </w:t>
      </w:r>
    </w:p>
    <w:p w14:paraId="6B591560">
      <w:pPr>
        <w:bidi w:val="0"/>
        <w:rPr>
          <w:rFonts w:hint="eastAsia"/>
          <w:lang w:val="en-US" w:eastAsia="zh-CN"/>
        </w:rPr>
      </w:pPr>
      <w:r>
        <w:rPr>
          <w:rFonts w:hint="eastAsia"/>
          <w:lang w:val="en-US" w:eastAsia="zh-CN"/>
        </w:rPr>
        <w:t xml:space="preserve">（1）全面建立农田项目“区、镇、村”三级管护责任人制度。认真贯彻落实区负总责、镇街落实、村为主体、所有者管护、使用者自护、受益者参与的管护机制，巩固完善区镇村三级责任人制度，督促镇街、受益村严格落实《江西省统筹整合资金推进高标准农田建设项目建后管护指导意见》各项要求，签订管护协议，建立运行管护工作台账，在项目区工程显著位置设立管护责任牌，明确管护责任人、管护岗位职责及联系电话等内容。 </w:t>
      </w:r>
    </w:p>
    <w:p w14:paraId="0881A2A7">
      <w:pPr>
        <w:bidi w:val="0"/>
        <w:rPr>
          <w:rFonts w:hint="eastAsia"/>
          <w:lang w:val="en-US" w:eastAsia="zh-CN"/>
        </w:rPr>
      </w:pPr>
      <w:r>
        <w:rPr>
          <w:rFonts w:hint="eastAsia"/>
          <w:lang w:val="en-US" w:eastAsia="zh-CN"/>
        </w:rPr>
        <w:t xml:space="preserve">（2）结合农业水价综合改革，着力解决运行管护费筹措难问题。农村水价改革主要通过安装流量计对用水户用水实时进行计量采集并上传和用水信息大数据储存及平台展示。主要目的是在田间工程配套完善的基础上，安装水量计量设施并及时采集、上传储存，为用水量计量、水权分配及交易、水费计收等提供基础数据支撑，使农业水价逐步达到运行维护成本水平，保障农田水利设施能够得到及时维护，实现正常运行长效发挥效益的目标。 </w:t>
      </w:r>
    </w:p>
    <w:p w14:paraId="03554EBD">
      <w:pPr>
        <w:bidi w:val="0"/>
        <w:rPr>
          <w:rFonts w:hint="eastAsia"/>
          <w:lang w:val="en-US" w:eastAsia="zh-CN"/>
        </w:rPr>
      </w:pPr>
      <w:r>
        <w:rPr>
          <w:rFonts w:hint="eastAsia"/>
          <w:lang w:val="en-US" w:eastAsia="zh-CN"/>
        </w:rPr>
        <w:t xml:space="preserve">（3）立足受益主体的不同，探索实施多种管护运行模式。要强化公益性服务体系，培育发展社会化服务组织，鼓励支持种粮大户、家庭农场、农民合作社等新型农业经营主体参与农田管护，因地制宜采取群众管理和公司化、物业化管理等多种管护模式，全面提升管护质量水平。 </w:t>
      </w:r>
    </w:p>
    <w:p w14:paraId="452B5C79">
      <w:pPr>
        <w:pStyle w:val="4"/>
        <w:bidi w:val="0"/>
        <w:rPr>
          <w:rFonts w:hint="eastAsia"/>
          <w:lang w:val="en-US" w:eastAsia="zh-CN"/>
        </w:rPr>
      </w:pPr>
      <w:r>
        <w:rPr>
          <w:rFonts w:hint="eastAsia"/>
          <w:lang w:val="en-US" w:eastAsia="zh-CN"/>
        </w:rPr>
        <w:t xml:space="preserve">10.1.4 管护措施 </w:t>
      </w:r>
    </w:p>
    <w:p w14:paraId="6440F1B9">
      <w:pPr>
        <w:bidi w:val="0"/>
        <w:rPr>
          <w:rFonts w:hint="eastAsia"/>
          <w:lang w:val="en-US" w:eastAsia="zh-CN"/>
        </w:rPr>
      </w:pPr>
      <w:r>
        <w:rPr>
          <w:rFonts w:hint="eastAsia"/>
          <w:lang w:val="en-US" w:eastAsia="zh-CN"/>
        </w:rPr>
        <w:t xml:space="preserve">（1）加强宣传，提高群众参与管护的积极性。采取设立宣传牌、粉刷标语等多种形式进行广泛宣传，将项目管护与农村集体经济利益、农民切身利益相结合，增强了群众管护的责任感和自觉性。已建成的项目工程设施要按照相关要求划界，设桩、竖牌、立牌，各主要工程设施统一设置标志，实行统一分类编号，并注明工程名称、建设地点、时间、投资总额、建设规模、受益范围、管护单位、管护责任人等，为开展管护工作奠定基础。 </w:t>
      </w:r>
    </w:p>
    <w:p w14:paraId="3C054434">
      <w:pPr>
        <w:bidi w:val="0"/>
        <w:rPr>
          <w:rFonts w:hint="eastAsia"/>
          <w:lang w:val="en-US" w:eastAsia="zh-CN"/>
        </w:rPr>
      </w:pPr>
      <w:r>
        <w:rPr>
          <w:rFonts w:hint="eastAsia"/>
          <w:lang w:val="en-US" w:eastAsia="zh-CN"/>
        </w:rPr>
        <w:t xml:space="preserve">（2）建立工程养护使用管理制度。每项工程竣工后，工程所在地或业务主管部门要落实后期管理、养护制度，保证工程长期发挥效益。 </w:t>
      </w:r>
    </w:p>
    <w:p w14:paraId="17C8AC03">
      <w:pPr>
        <w:bidi w:val="0"/>
        <w:rPr>
          <w:rFonts w:hint="eastAsia"/>
          <w:lang w:val="en-US" w:eastAsia="zh-CN"/>
        </w:rPr>
      </w:pPr>
      <w:r>
        <w:rPr>
          <w:rFonts w:hint="eastAsia"/>
          <w:lang w:val="en-US" w:eastAsia="zh-CN"/>
        </w:rPr>
        <w:t xml:space="preserve">1）项目工程设施必须进行依法保护，任何单位和个人不得侵占和破坏，严禁在项目区内倾倒有害毒有害废弃物、排放有毒有害污水和建房、建坟、挖沙、取土、采矿、建窑等； </w:t>
      </w:r>
    </w:p>
    <w:p w14:paraId="46FDAAF9">
      <w:pPr>
        <w:bidi w:val="0"/>
        <w:rPr>
          <w:rFonts w:hint="eastAsia"/>
          <w:lang w:val="en-US" w:eastAsia="zh-CN"/>
        </w:rPr>
      </w:pPr>
      <w:r>
        <w:rPr>
          <w:rFonts w:hint="eastAsia"/>
          <w:lang w:val="en-US" w:eastAsia="zh-CN"/>
        </w:rPr>
        <w:t>2）农田排灌渠道要保证“三度”（宽度、深度、坡度）完好，及时维修、清淤，做到旱能灌、涝能排，排灌畅通。不准在排灌道上乱开口子、乱筑挡子、修建建筑物、任意取土、挖填渠道或种植农作物，影响通水；</w:t>
      </w:r>
    </w:p>
    <w:p w14:paraId="3141A79B">
      <w:pPr>
        <w:bidi w:val="0"/>
        <w:rPr>
          <w:rFonts w:hint="eastAsia"/>
          <w:lang w:val="en-US" w:eastAsia="zh-CN"/>
        </w:rPr>
      </w:pPr>
      <w:r>
        <w:rPr>
          <w:rFonts w:hint="eastAsia"/>
          <w:lang w:val="en-US" w:eastAsia="zh-CN"/>
        </w:rPr>
        <w:t xml:space="preserve">3）对于田间其他设施也要根据其用途签订管护责任书，做到项目有人管，不留漏洞； </w:t>
      </w:r>
    </w:p>
    <w:p w14:paraId="7B5C4AFF">
      <w:pPr>
        <w:bidi w:val="0"/>
        <w:rPr>
          <w:rFonts w:hint="eastAsia"/>
          <w:lang w:val="en-US" w:eastAsia="zh-CN"/>
        </w:rPr>
      </w:pPr>
      <w:r>
        <w:rPr>
          <w:rFonts w:hint="eastAsia"/>
          <w:lang w:val="en-US" w:eastAsia="zh-CN"/>
        </w:rPr>
        <w:t xml:space="preserve">4）在项目区内新建、扩建和改建有关工程项目，要按照项目管理权限，严格履行项目审批手续；任何单位和个人不得将机耕路，作业道改作农田或擅自缩窄路面，不得在道路上开沟取土或建房，不准堆放其他杂物和设障，不准挖取道路上的砂石作它用。加强道路养护，保证路面平整，无积水坑。可采取分段管护，也可划地段交受益农户管理。 </w:t>
      </w:r>
    </w:p>
    <w:p w14:paraId="0E396B3F">
      <w:pPr>
        <w:bidi w:val="0"/>
        <w:rPr>
          <w:rFonts w:hint="eastAsia"/>
          <w:lang w:val="en-US" w:eastAsia="zh-CN"/>
        </w:rPr>
      </w:pPr>
      <w:r>
        <w:rPr>
          <w:rFonts w:hint="eastAsia"/>
          <w:lang w:val="en-US" w:eastAsia="zh-CN"/>
        </w:rPr>
        <w:t xml:space="preserve">（3）建设单位要做好项目工程文件、技术资料的整理、财务登记造册；省级、市级相关业务主管部门要建立建成项目数据库，对建成项目建档管理。 </w:t>
      </w:r>
    </w:p>
    <w:p w14:paraId="2D66B632">
      <w:pPr>
        <w:pStyle w:val="4"/>
        <w:bidi w:val="0"/>
        <w:rPr>
          <w:rFonts w:hint="eastAsia"/>
          <w:lang w:val="en-US" w:eastAsia="zh-CN"/>
        </w:rPr>
      </w:pPr>
      <w:r>
        <w:rPr>
          <w:rFonts w:hint="eastAsia"/>
          <w:lang w:val="en-US" w:eastAsia="zh-CN"/>
        </w:rPr>
        <w:t xml:space="preserve">10.1.5 管护经费来源 </w:t>
      </w:r>
    </w:p>
    <w:p w14:paraId="0D6D7761">
      <w:pPr>
        <w:bidi w:val="0"/>
        <w:rPr>
          <w:rFonts w:hint="eastAsia"/>
          <w:lang w:val="en-US" w:eastAsia="zh-CN"/>
        </w:rPr>
      </w:pPr>
      <w:r>
        <w:rPr>
          <w:rFonts w:hint="eastAsia"/>
          <w:lang w:val="en-US" w:eastAsia="zh-CN"/>
        </w:rPr>
        <w:t xml:space="preserve">要管理好工程设施，其管理经费是必不可少的，只有稳定的管理经费，才可确保灌区工程管理实现良性运行。通过准农田建设新增加的耕地按规定程序纳入占补平衡补充耕地指标。新增加的耕地应突出集体利益，兼顾农户利益，满足农业附属设施建设需要，新增耕地指标调剂收益优先用于农田建设和建后管护等工作开展。对电灌站、防渗渠等的维护经费，从水费成本中进行核算和提取；对公益性基础设施，由受益地群众按“一事一议”进行筹集；对骨干以上的项目，争取上级经费，由管理处负责落实管护使用。目前灌区工程的管理经费来源主要来源于农业灌溉水费收入和上级申请补助经费，其管理经费远远不足，今后将加强政策的研究与制定，建立起多渠道、多层次的管理经费来源机制。 </w:t>
      </w:r>
    </w:p>
    <w:p w14:paraId="4EF375FB">
      <w:pPr>
        <w:pStyle w:val="4"/>
        <w:bidi w:val="0"/>
        <w:rPr>
          <w:rFonts w:hint="eastAsia"/>
          <w:lang w:val="en-US" w:eastAsia="zh-CN"/>
        </w:rPr>
      </w:pPr>
      <w:r>
        <w:rPr>
          <w:rFonts w:hint="eastAsia"/>
          <w:lang w:val="en-US" w:eastAsia="zh-CN"/>
        </w:rPr>
        <w:t xml:space="preserve">10.1.6 保障措施 </w:t>
      </w:r>
    </w:p>
    <w:p w14:paraId="120E79CF">
      <w:pPr>
        <w:bidi w:val="0"/>
        <w:rPr>
          <w:rFonts w:hint="eastAsia"/>
          <w:lang w:val="en-US" w:eastAsia="zh-CN"/>
        </w:rPr>
      </w:pPr>
      <w:r>
        <w:rPr>
          <w:rFonts w:hint="eastAsia"/>
          <w:lang w:val="en-US" w:eastAsia="zh-CN"/>
        </w:rPr>
        <w:t>（1）强化组织领导。</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 xml:space="preserve">将建后管护工作作为抓好高标准农田建设的重要内容统筹落实。昌江区农业农村、水利、财政、自然资源等部门要立足自身职能，合力推动高标准农田建后管护工作。区农业农村部门要抓好建后管护政策制定、监督指导和检查考核等工作。财政部门要落实好资金筹措、拨付和监管等工作。自然资源部门要抓好对非农建设违法占用高标准农田的查处工作。项目所在乡（镇）人民政府要认真抓好管护政策落实和管护资金使用监督、检查等工作。其他相关职能部门，要积极做好建后管护检查、指导和服务等工作。 </w:t>
      </w:r>
    </w:p>
    <w:p w14:paraId="55A58C6B">
      <w:pPr>
        <w:bidi w:val="0"/>
        <w:rPr>
          <w:rFonts w:hint="eastAsia"/>
          <w:lang w:val="en-US" w:eastAsia="zh-CN"/>
        </w:rPr>
      </w:pPr>
      <w:r>
        <w:rPr>
          <w:rFonts w:hint="eastAsia"/>
          <w:lang w:val="en-US" w:eastAsia="zh-CN"/>
        </w:rPr>
        <w:t>（2）强化资金保障。高标准农田建设项目建后管护属地方事权，</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 xml:space="preserve">政府要切实履行“区负总责”的责任，在年度财政预算中安排高标准农田建后管护经费。各地可通过高标准农田项目结余资金、新增耕地指标交易收益、村组集体经济收益等，多渠道筹措建后管护资金。已流转的高标准农田建后管护费用由取得土地经营权的新型农业经营主体自行承担。区农业农村部门会同财政部门结合当地实际制定管护资金使用管理办法。 </w:t>
      </w:r>
    </w:p>
    <w:p w14:paraId="2698C60C">
      <w:pPr>
        <w:bidi w:val="0"/>
        <w:rPr>
          <w:rFonts w:hint="eastAsia"/>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lang w:val="en-US" w:eastAsia="zh-CN"/>
        </w:rPr>
        <w:t>（3）强化监督考核。要加强对建后管护工作的检查督导，将其与推进高标准农田建设同部署、同督查、同考核、同奖惩。全省高标准农田建设绩效考评奖励，将建后管护作为重要考核内容，进一步提高评价指标权重。</w:t>
      </w:r>
      <w:r>
        <w:rPr>
          <w:rFonts w:hint="eastAsia" w:asciiTheme="minorEastAsia" w:hAnsiTheme="minorEastAsia" w:eastAsiaTheme="minorEastAsia" w:cstheme="minorEastAsia"/>
          <w:i w:val="0"/>
          <w:iCs w:val="0"/>
          <w:color w:val="000000"/>
          <w:kern w:val="0"/>
          <w:sz w:val="21"/>
          <w:szCs w:val="21"/>
          <w:u w:val="none"/>
          <w:lang w:val="en-US" w:eastAsia="zh-CN" w:bidi="ar"/>
        </w:rPr>
        <w:t>昌江区</w:t>
      </w:r>
      <w:r>
        <w:rPr>
          <w:rFonts w:hint="eastAsia"/>
          <w:lang w:val="en-US" w:eastAsia="zh-CN"/>
        </w:rPr>
        <w:t>制定相应的考核奖励办法，将建后管护纳入推进高标准农田建设工作考核重要指标，作为年度考核评先评优的重要内容。</w:t>
      </w:r>
    </w:p>
    <w:p w14:paraId="60EE64F5">
      <w:pPr>
        <w:pStyle w:val="4"/>
        <w:keepNext/>
        <w:keepLines/>
        <w:pageBreakBefore w:val="0"/>
        <w:widowControl w:val="0"/>
        <w:kinsoku/>
        <w:wordWrap/>
        <w:overflowPunct/>
        <w:topLinePunct w:val="0"/>
        <w:autoSpaceDE/>
        <w:autoSpaceDN/>
        <w:bidi w:val="0"/>
        <w:adjustRightInd/>
        <w:snapToGrid/>
        <w:spacing w:line="413" w:lineRule="auto"/>
        <w:ind w:firstLine="0" w:firstLineChars="0"/>
        <w:jc w:val="center"/>
        <w:textAlignment w:val="auto"/>
        <w:rPr>
          <w:rFonts w:hint="eastAsia"/>
          <w:lang w:val="en-US" w:eastAsia="zh-CN"/>
        </w:rPr>
      </w:pPr>
      <w:r>
        <w:rPr>
          <w:rFonts w:hint="eastAsia"/>
          <w:lang w:val="en-US" w:eastAsia="zh-CN"/>
        </w:rPr>
        <w:t>附表一：</w:t>
      </w:r>
      <w:r>
        <w:rPr>
          <w:rFonts w:hint="default"/>
          <w:lang w:val="en-US" w:eastAsia="zh-CN"/>
        </w:rPr>
        <w:t>昌江区高标准农田损毁设施集中修复项目</w:t>
      </w:r>
      <w:r>
        <w:rPr>
          <w:rFonts w:hint="eastAsia"/>
          <w:lang w:val="en-US" w:eastAsia="zh-CN"/>
        </w:rPr>
        <w:t>建设工程量表</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36"/>
        <w:gridCol w:w="2145"/>
        <w:gridCol w:w="1266"/>
        <w:gridCol w:w="4585"/>
        <w:gridCol w:w="1115"/>
        <w:gridCol w:w="1116"/>
        <w:gridCol w:w="3305"/>
      </w:tblGrid>
      <w:tr w14:paraId="1DC59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255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序号</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CC4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村名</w:t>
            </w:r>
          </w:p>
        </w:tc>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AEA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面积（亩）</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A5F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编号</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1EA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单位</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40F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数量</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166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备注</w:t>
            </w:r>
          </w:p>
        </w:tc>
      </w:tr>
      <w:tr w14:paraId="7B7A65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A13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0BC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关山村</w:t>
            </w:r>
          </w:p>
        </w:tc>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BEE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85.79</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5AF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改建斗渠(0.6*0.6砼)-1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1E9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A0D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380</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A35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63F87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98F1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DBD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137A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FE5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改建斗渠(0.8*0.8砼)-2</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DC5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B78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80</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77F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272BA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4D44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1A1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5ECC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F5B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4米盖板涵</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70C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座</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E31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4B8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原有涵破损需修复</w:t>
            </w:r>
          </w:p>
        </w:tc>
      </w:tr>
      <w:tr w14:paraId="118C2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EFB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726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丽阳村</w:t>
            </w:r>
          </w:p>
        </w:tc>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72A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131.4</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DB8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沟渠维修(0.6*0.6砼)</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D15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AD1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521</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447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28AA0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C25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8B6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联村村</w:t>
            </w:r>
          </w:p>
        </w:tc>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85F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105.12</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9DF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修复机耕道(3*0.5m碎石)-1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84E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17D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365</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E78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52613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864F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EDF6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1553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508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修复机耕道(3*0.5m碎石)-2</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4B9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A2D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26</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44A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53017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A5FC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5E6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2527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94D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改建机耕道(3.5*0.5碎石)-1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BDC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A33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385</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D32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14A6E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BCE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A47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新柳村</w:t>
            </w:r>
          </w:p>
        </w:tc>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6B2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59.25</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858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拆建农渠(0.4*0.4砼)-1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665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84F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432</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30D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原有u型槽拆除</w:t>
            </w:r>
          </w:p>
        </w:tc>
      </w:tr>
      <w:tr w14:paraId="4E3FD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B13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888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凤岗村</w:t>
            </w:r>
          </w:p>
        </w:tc>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021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84.41</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315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改建机耕道(3.5*0.5碎石)-1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E62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9D9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384</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1D4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原有道路损毁需修复</w:t>
            </w:r>
          </w:p>
        </w:tc>
      </w:tr>
      <w:tr w14:paraId="72E86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990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6</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A31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鱼山村</w:t>
            </w:r>
          </w:p>
        </w:tc>
        <w:tc>
          <w:tcPr>
            <w:tcW w:w="42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114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53.64</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521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改建农渠(0.4*0.4砼)-1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288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CE3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257</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BA6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原有灌溉渠淤积损毁需修复</w:t>
            </w:r>
          </w:p>
        </w:tc>
      </w:tr>
      <w:tr w14:paraId="76137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74ED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AAE6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42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9D9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08A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修复田埂(上底0.4下底0.7高0.5)-1</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124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m</w:t>
            </w: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EFC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119</w:t>
            </w: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CEA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原有田埂冲毁需修复加高</w:t>
            </w:r>
          </w:p>
        </w:tc>
      </w:tr>
      <w:tr w14:paraId="12AFF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2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D7B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B76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合计</w:t>
            </w:r>
          </w:p>
        </w:tc>
        <w:tc>
          <w:tcPr>
            <w:tcW w:w="4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9BE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b w:val="0"/>
                <w:bCs w:val="0"/>
                <w:i w:val="0"/>
                <w:iCs w:val="0"/>
                <w:color w:val="auto"/>
                <w:sz w:val="21"/>
                <w:szCs w:val="21"/>
                <w:u w:val="none"/>
              </w:rPr>
            </w:pPr>
            <w:r>
              <w:rPr>
                <w:rFonts w:hint="default" w:ascii="Times New Roman" w:hAnsi="Times New Roman" w:eastAsia="宋体" w:cs="Times New Roman"/>
                <w:b w:val="0"/>
                <w:bCs w:val="0"/>
                <w:i w:val="0"/>
                <w:iCs w:val="0"/>
                <w:color w:val="auto"/>
                <w:kern w:val="0"/>
                <w:sz w:val="21"/>
                <w:szCs w:val="21"/>
                <w:u w:val="none"/>
                <w:lang w:val="en-US" w:eastAsia="zh-CN" w:bidi="ar"/>
              </w:rPr>
              <w:t>519.61</w:t>
            </w:r>
          </w:p>
        </w:tc>
        <w:tc>
          <w:tcPr>
            <w:tcW w:w="16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402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4FA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3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2CA0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c>
          <w:tcPr>
            <w:tcW w:w="11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94BF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auto"/>
                <w:sz w:val="21"/>
                <w:szCs w:val="21"/>
                <w:u w:val="none"/>
              </w:rPr>
            </w:pPr>
          </w:p>
        </w:tc>
      </w:tr>
    </w:tbl>
    <w:p w14:paraId="56DEC04F">
      <w:pPr>
        <w:rPr>
          <w:rFonts w:hint="default"/>
          <w:lang w:val="en-US" w:eastAsia="zh-CN"/>
        </w:rPr>
      </w:pPr>
    </w:p>
    <w:p w14:paraId="2F1B91C0">
      <w:pPr>
        <w:rPr>
          <w:rFonts w:hint="default"/>
          <w:lang w:val="en-US" w:eastAsia="zh-CN"/>
        </w:rPr>
      </w:pPr>
      <w:r>
        <w:rPr>
          <w:rFonts w:hint="default"/>
          <w:lang w:val="en-US" w:eastAsia="zh-CN"/>
        </w:rPr>
        <w:br w:type="page"/>
      </w:r>
    </w:p>
    <w:p w14:paraId="30EED14C">
      <w:pPr>
        <w:pStyle w:val="4"/>
        <w:keepNext/>
        <w:keepLines/>
        <w:pageBreakBefore w:val="0"/>
        <w:widowControl w:val="0"/>
        <w:kinsoku/>
        <w:wordWrap/>
        <w:overflowPunct/>
        <w:topLinePunct w:val="0"/>
        <w:autoSpaceDE/>
        <w:autoSpaceDN/>
        <w:bidi w:val="0"/>
        <w:adjustRightInd/>
        <w:snapToGrid/>
        <w:spacing w:line="413" w:lineRule="auto"/>
        <w:ind w:firstLine="0" w:firstLineChars="0"/>
        <w:jc w:val="center"/>
        <w:textAlignment w:val="auto"/>
        <w:rPr>
          <w:rFonts w:hint="default"/>
          <w:lang w:val="en-US" w:eastAsia="zh-CN"/>
        </w:rPr>
      </w:pPr>
      <w:r>
        <w:rPr>
          <w:rFonts w:hint="default"/>
          <w:lang w:val="en-US" w:eastAsia="zh-CN"/>
        </w:rPr>
        <w:t>附表</w:t>
      </w:r>
      <w:r>
        <w:rPr>
          <w:rFonts w:hint="eastAsia"/>
          <w:lang w:val="en-US" w:eastAsia="zh-CN"/>
        </w:rPr>
        <w:t>二</w:t>
      </w:r>
      <w:r>
        <w:rPr>
          <w:rFonts w:hint="default"/>
          <w:lang w:val="en-US" w:eastAsia="zh-CN"/>
        </w:rPr>
        <w:t>：灌渠设计成果表</w:t>
      </w:r>
    </w:p>
    <w:tbl>
      <w:tblPr>
        <w:tblStyle w:val="17"/>
        <w:tblpPr w:leftFromText="180" w:rightFromText="180" w:vertAnchor="text" w:horzAnchor="page" w:tblpXSpec="center" w:tblpY="276"/>
        <w:tblOverlap w:val="never"/>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6"/>
        <w:gridCol w:w="2264"/>
        <w:gridCol w:w="800"/>
        <w:gridCol w:w="939"/>
        <w:gridCol w:w="584"/>
        <w:gridCol w:w="584"/>
        <w:gridCol w:w="625"/>
        <w:gridCol w:w="625"/>
        <w:gridCol w:w="426"/>
        <w:gridCol w:w="689"/>
        <w:gridCol w:w="829"/>
        <w:gridCol w:w="671"/>
        <w:gridCol w:w="723"/>
        <w:gridCol w:w="777"/>
        <w:gridCol w:w="1003"/>
        <w:gridCol w:w="940"/>
        <w:gridCol w:w="849"/>
      </w:tblGrid>
      <w:tr w14:paraId="7229F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C0A9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行政村</w:t>
            </w:r>
          </w:p>
        </w:tc>
        <w:tc>
          <w:tcPr>
            <w:tcW w:w="7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55F2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渠道名称</w:t>
            </w:r>
          </w:p>
        </w:tc>
        <w:tc>
          <w:tcPr>
            <w:tcW w:w="2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686B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渠道长度（m）</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A058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灌溉面积（亩）</w:t>
            </w:r>
          </w:p>
        </w:tc>
        <w:tc>
          <w:tcPr>
            <w:tcW w:w="41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563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渠底高程</w:t>
            </w:r>
          </w:p>
        </w:tc>
        <w:tc>
          <w:tcPr>
            <w:tcW w:w="287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1BA2E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各水力计算参数</w:t>
            </w:r>
          </w:p>
        </w:tc>
      </w:tr>
      <w:tr w14:paraId="5AEA0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8" w:hRule="atLeast"/>
          <w:jc w:val="center"/>
        </w:trPr>
        <w:tc>
          <w:tcPr>
            <w:tcW w:w="2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898B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7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396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2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BCD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225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3A8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起</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BC2C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止</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F4B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水深( m )</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F9C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底宽( m )</w:t>
            </w:r>
          </w:p>
        </w:tc>
        <w:tc>
          <w:tcPr>
            <w:tcW w:w="1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B09B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边坡</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6376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糙率n</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1DC6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过水断面A(m2 )</w:t>
            </w:r>
          </w:p>
        </w:tc>
        <w:tc>
          <w:tcPr>
            <w:tcW w:w="2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00E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湿周X(m)</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DDA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水力半径R(m)</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125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谢才系数C</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3C7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设计流量Q（m³/s）</w:t>
            </w:r>
          </w:p>
        </w:tc>
        <w:tc>
          <w:tcPr>
            <w:tcW w:w="3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5A3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设计流速V（m/s）</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5A1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渠底纵坡i</w:t>
            </w:r>
          </w:p>
        </w:tc>
      </w:tr>
      <w:tr w14:paraId="746DF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FF2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关山村</w:t>
            </w:r>
          </w:p>
        </w:tc>
        <w:tc>
          <w:tcPr>
            <w:tcW w:w="7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001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改建斗渠(0.6*0.6砼)-1</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E0E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380</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0CB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B8A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F5A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24.9</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267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0.45</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B7A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0.6</w:t>
            </w:r>
          </w:p>
        </w:tc>
        <w:tc>
          <w:tcPr>
            <w:tcW w:w="1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D76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424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w:t>
            </w:r>
          </w:p>
        </w:tc>
        <w:tc>
          <w:tcPr>
            <w:tcW w:w="2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3E1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0.27</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489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1.50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9AE5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0.18</w:t>
            </w:r>
          </w:p>
        </w:tc>
        <w:tc>
          <w:tcPr>
            <w:tcW w:w="2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2C0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44.20</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A12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0.18</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F0E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0.68</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363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0.0013</w:t>
            </w:r>
          </w:p>
        </w:tc>
      </w:tr>
      <w:tr w14:paraId="4E5E5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9453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关山村</w:t>
            </w:r>
          </w:p>
        </w:tc>
        <w:tc>
          <w:tcPr>
            <w:tcW w:w="7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F4E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改建斗渠(0.8*0.8砼)-2</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44E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80</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2159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B73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24.9</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EA0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23.4</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7EDF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0.65</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441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0.8</w:t>
            </w:r>
          </w:p>
        </w:tc>
        <w:tc>
          <w:tcPr>
            <w:tcW w:w="1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EB8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015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w:t>
            </w:r>
          </w:p>
        </w:tc>
        <w:tc>
          <w:tcPr>
            <w:tcW w:w="2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E40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0.52</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7A3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2.10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BEA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0.25</w:t>
            </w:r>
          </w:p>
        </w:tc>
        <w:tc>
          <w:tcPr>
            <w:tcW w:w="2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E913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46.61</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B46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1.65</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728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3.18</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8C9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0.0188</w:t>
            </w:r>
          </w:p>
        </w:tc>
      </w:tr>
      <w:tr w14:paraId="434A3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B1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丽阳村</w:t>
            </w:r>
          </w:p>
        </w:tc>
        <w:tc>
          <w:tcPr>
            <w:tcW w:w="7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AF4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沟渠维修(0.6*0.6砼)</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E2A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521</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7C94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330</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FBEC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25.7</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011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23.3</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5D4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0.45</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F23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0.6</w:t>
            </w:r>
          </w:p>
        </w:tc>
        <w:tc>
          <w:tcPr>
            <w:tcW w:w="1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3AE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589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w:t>
            </w:r>
          </w:p>
        </w:tc>
        <w:tc>
          <w:tcPr>
            <w:tcW w:w="2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7D4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0.27</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8D7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1.50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82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0.18</w:t>
            </w:r>
          </w:p>
        </w:tc>
        <w:tc>
          <w:tcPr>
            <w:tcW w:w="2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9FB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44.20</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78A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0.34</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762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1.27</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2EC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0.0046</w:t>
            </w:r>
          </w:p>
        </w:tc>
      </w:tr>
      <w:tr w14:paraId="26245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F4C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新柳村</w:t>
            </w:r>
          </w:p>
        </w:tc>
        <w:tc>
          <w:tcPr>
            <w:tcW w:w="7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E11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拆建农渠(0.4*0.4砼)-1</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A65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432</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407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82</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F7B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55.1</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EA1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44.5</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7199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0.3</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1B3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0.4</w:t>
            </w:r>
          </w:p>
        </w:tc>
        <w:tc>
          <w:tcPr>
            <w:tcW w:w="1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7F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EB7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w:t>
            </w:r>
          </w:p>
        </w:tc>
        <w:tc>
          <w:tcPr>
            <w:tcW w:w="2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2B4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0.12</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EE7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B0E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0.12</w:t>
            </w:r>
          </w:p>
        </w:tc>
        <w:tc>
          <w:tcPr>
            <w:tcW w:w="2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63D7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41.31</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BAEA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0.27</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7A6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2.24</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925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0.0245</w:t>
            </w:r>
          </w:p>
        </w:tc>
      </w:tr>
      <w:tr w14:paraId="182FA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2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5C6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鱼山村</w:t>
            </w:r>
          </w:p>
        </w:tc>
        <w:tc>
          <w:tcPr>
            <w:tcW w:w="7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31D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改建农渠(0.4*0.4砼)-1</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645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257</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319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40</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6D6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29.1</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BAB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24.6</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0D8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0.3</w:t>
            </w:r>
          </w:p>
        </w:tc>
        <w:tc>
          <w:tcPr>
            <w:tcW w:w="22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B8E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0.4</w:t>
            </w:r>
          </w:p>
        </w:tc>
        <w:tc>
          <w:tcPr>
            <w:tcW w:w="1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782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w:t>
            </w:r>
          </w:p>
        </w:tc>
        <w:tc>
          <w:tcPr>
            <w:tcW w:w="2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905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w:t>
            </w:r>
          </w:p>
        </w:tc>
        <w:tc>
          <w:tcPr>
            <w:tcW w:w="2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E1C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0.12</w:t>
            </w:r>
          </w:p>
        </w:tc>
        <w:tc>
          <w:tcPr>
            <w:tcW w:w="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9EF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p>
        </w:tc>
        <w:tc>
          <w:tcPr>
            <w:tcW w:w="2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C2B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0.12</w:t>
            </w:r>
          </w:p>
        </w:tc>
        <w:tc>
          <w:tcPr>
            <w:tcW w:w="2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749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41.31</w:t>
            </w:r>
          </w:p>
        </w:tc>
        <w:tc>
          <w:tcPr>
            <w:tcW w:w="3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E7B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0.23</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F13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1.89</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BC1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0.0175</w:t>
            </w:r>
          </w:p>
        </w:tc>
      </w:tr>
    </w:tbl>
    <w:p w14:paraId="6E35103C">
      <w:pPr>
        <w:pStyle w:val="22"/>
        <w:rPr>
          <w:rFonts w:hint="default"/>
          <w:lang w:val="en-US" w:eastAsia="zh-CN"/>
        </w:rPr>
      </w:pPr>
    </w:p>
    <w:sectPr>
      <w:pgSz w:w="16838" w:h="11906" w:orient="landscape"/>
      <w:pgMar w:top="1800" w:right="1440" w:bottom="1800" w:left="14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2C495">
    <w:pPr>
      <w:pStyle w:val="1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AFB8DD">
                          <w:pPr>
                            <w:pStyle w:val="11"/>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1AFB8DD">
                    <w:pPr>
                      <w:pStyle w:val="11"/>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5B49DB">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932BB0">
                          <w:pPr>
                            <w:pStyle w:val="11"/>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50932BB0">
                    <w:pPr>
                      <w:pStyle w:val="11"/>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0F1437">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2D5554">
                          <w:pPr>
                            <w:pStyle w:val="11"/>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82D5554">
                    <w:pPr>
                      <w:pStyle w:val="11"/>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E0BF8F"/>
    <w:multiLevelType w:val="singleLevel"/>
    <w:tmpl w:val="C2E0BF8F"/>
    <w:lvl w:ilvl="0" w:tentative="0">
      <w:start w:val="1"/>
      <w:numFmt w:val="decimal"/>
      <w:suff w:val="nothing"/>
      <w:lvlText w:val="（%1）"/>
      <w:lvlJc w:val="left"/>
    </w:lvl>
  </w:abstractNum>
  <w:abstractNum w:abstractNumId="1">
    <w:nsid w:val="7CF86470"/>
    <w:multiLevelType w:val="singleLevel"/>
    <w:tmpl w:val="7CF86470"/>
    <w:lvl w:ilvl="0" w:tentative="0">
      <w:start w:val="3"/>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8"/>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gzMGFhMjNiNDU1YThhMDE1MDIwZmU3ZmQyYzYzMDAifQ=="/>
  </w:docVars>
  <w:rsids>
    <w:rsidRoot w:val="00172A27"/>
    <w:rsid w:val="00066EBC"/>
    <w:rsid w:val="0009075B"/>
    <w:rsid w:val="000969AD"/>
    <w:rsid w:val="000B44D3"/>
    <w:rsid w:val="000C1FF9"/>
    <w:rsid w:val="00133387"/>
    <w:rsid w:val="00215AA4"/>
    <w:rsid w:val="0027349C"/>
    <w:rsid w:val="00276E33"/>
    <w:rsid w:val="002E01C1"/>
    <w:rsid w:val="002E1F6F"/>
    <w:rsid w:val="00307A95"/>
    <w:rsid w:val="00333E64"/>
    <w:rsid w:val="003773F4"/>
    <w:rsid w:val="003C28DE"/>
    <w:rsid w:val="00531485"/>
    <w:rsid w:val="00562BF3"/>
    <w:rsid w:val="0058523E"/>
    <w:rsid w:val="00675481"/>
    <w:rsid w:val="006B4F71"/>
    <w:rsid w:val="00732078"/>
    <w:rsid w:val="007959AB"/>
    <w:rsid w:val="007A1658"/>
    <w:rsid w:val="00814795"/>
    <w:rsid w:val="00A12741"/>
    <w:rsid w:val="00A947CB"/>
    <w:rsid w:val="00AD558A"/>
    <w:rsid w:val="00C621A8"/>
    <w:rsid w:val="00C823C4"/>
    <w:rsid w:val="00CF670F"/>
    <w:rsid w:val="00D42B17"/>
    <w:rsid w:val="00DC5E6F"/>
    <w:rsid w:val="00E30FAC"/>
    <w:rsid w:val="00EB2792"/>
    <w:rsid w:val="00F105BF"/>
    <w:rsid w:val="00F9432B"/>
    <w:rsid w:val="00FF3A5A"/>
    <w:rsid w:val="010333FC"/>
    <w:rsid w:val="01062EEC"/>
    <w:rsid w:val="010800FE"/>
    <w:rsid w:val="010827C0"/>
    <w:rsid w:val="010D7DD7"/>
    <w:rsid w:val="01121891"/>
    <w:rsid w:val="011E437D"/>
    <w:rsid w:val="012375FA"/>
    <w:rsid w:val="013A41A6"/>
    <w:rsid w:val="013C246A"/>
    <w:rsid w:val="014A2A1D"/>
    <w:rsid w:val="014A4B87"/>
    <w:rsid w:val="014F4893"/>
    <w:rsid w:val="015772A4"/>
    <w:rsid w:val="016C0FA1"/>
    <w:rsid w:val="017460A8"/>
    <w:rsid w:val="017B11E4"/>
    <w:rsid w:val="01893E64"/>
    <w:rsid w:val="018A53E2"/>
    <w:rsid w:val="018A575B"/>
    <w:rsid w:val="01990240"/>
    <w:rsid w:val="01A22C15"/>
    <w:rsid w:val="01A4698D"/>
    <w:rsid w:val="01B110AA"/>
    <w:rsid w:val="01C20BC1"/>
    <w:rsid w:val="01CA5CC8"/>
    <w:rsid w:val="01EE2BD1"/>
    <w:rsid w:val="01F114A6"/>
    <w:rsid w:val="01F42D45"/>
    <w:rsid w:val="01FF7FF5"/>
    <w:rsid w:val="020236B3"/>
    <w:rsid w:val="02094A42"/>
    <w:rsid w:val="020A2568"/>
    <w:rsid w:val="020E2058"/>
    <w:rsid w:val="0217261A"/>
    <w:rsid w:val="02173638"/>
    <w:rsid w:val="02181129"/>
    <w:rsid w:val="021A09FD"/>
    <w:rsid w:val="021F6013"/>
    <w:rsid w:val="02290C40"/>
    <w:rsid w:val="022C24DE"/>
    <w:rsid w:val="02385327"/>
    <w:rsid w:val="024B6E08"/>
    <w:rsid w:val="02551A35"/>
    <w:rsid w:val="02555ED9"/>
    <w:rsid w:val="025832D3"/>
    <w:rsid w:val="025D08EA"/>
    <w:rsid w:val="025D7143"/>
    <w:rsid w:val="02671BD1"/>
    <w:rsid w:val="026779BA"/>
    <w:rsid w:val="026B1259"/>
    <w:rsid w:val="026D3223"/>
    <w:rsid w:val="02703EE8"/>
    <w:rsid w:val="027C3466"/>
    <w:rsid w:val="028440C8"/>
    <w:rsid w:val="02895B83"/>
    <w:rsid w:val="028C21C0"/>
    <w:rsid w:val="02954528"/>
    <w:rsid w:val="02A62291"/>
    <w:rsid w:val="02A76009"/>
    <w:rsid w:val="02A97FD3"/>
    <w:rsid w:val="02B26E88"/>
    <w:rsid w:val="02B56978"/>
    <w:rsid w:val="02B9227B"/>
    <w:rsid w:val="02C31095"/>
    <w:rsid w:val="02C3589B"/>
    <w:rsid w:val="02C72207"/>
    <w:rsid w:val="02C92423"/>
    <w:rsid w:val="02CE32D6"/>
    <w:rsid w:val="02D36DFE"/>
    <w:rsid w:val="02DF39F5"/>
    <w:rsid w:val="02E432FC"/>
    <w:rsid w:val="02F76F90"/>
    <w:rsid w:val="03031491"/>
    <w:rsid w:val="030A1D4E"/>
    <w:rsid w:val="030D0562"/>
    <w:rsid w:val="03195159"/>
    <w:rsid w:val="031E62CB"/>
    <w:rsid w:val="03367AB9"/>
    <w:rsid w:val="033E4BBF"/>
    <w:rsid w:val="034026E5"/>
    <w:rsid w:val="03404493"/>
    <w:rsid w:val="03407271"/>
    <w:rsid w:val="034877EC"/>
    <w:rsid w:val="034C108A"/>
    <w:rsid w:val="034E3E75"/>
    <w:rsid w:val="03522419"/>
    <w:rsid w:val="03583750"/>
    <w:rsid w:val="03600692"/>
    <w:rsid w:val="03655CA8"/>
    <w:rsid w:val="03681C3C"/>
    <w:rsid w:val="036D2DAF"/>
    <w:rsid w:val="036F4D79"/>
    <w:rsid w:val="03835E04"/>
    <w:rsid w:val="038A1BB2"/>
    <w:rsid w:val="038D16A3"/>
    <w:rsid w:val="03906A9D"/>
    <w:rsid w:val="03936CB9"/>
    <w:rsid w:val="03942A31"/>
    <w:rsid w:val="039667A9"/>
    <w:rsid w:val="039842CF"/>
    <w:rsid w:val="03993BA4"/>
    <w:rsid w:val="03A01B1F"/>
    <w:rsid w:val="03AF1619"/>
    <w:rsid w:val="03B46C2F"/>
    <w:rsid w:val="03C07382"/>
    <w:rsid w:val="03CF3A69"/>
    <w:rsid w:val="03D177E1"/>
    <w:rsid w:val="03E017D2"/>
    <w:rsid w:val="03E5503B"/>
    <w:rsid w:val="03F979C9"/>
    <w:rsid w:val="040807DF"/>
    <w:rsid w:val="04082AD7"/>
    <w:rsid w:val="040B651A"/>
    <w:rsid w:val="0414147C"/>
    <w:rsid w:val="041871BE"/>
    <w:rsid w:val="04236D09"/>
    <w:rsid w:val="04247911"/>
    <w:rsid w:val="042A0CA0"/>
    <w:rsid w:val="042F4508"/>
    <w:rsid w:val="042F62B6"/>
    <w:rsid w:val="04497378"/>
    <w:rsid w:val="044B1820"/>
    <w:rsid w:val="044C0C16"/>
    <w:rsid w:val="045937AD"/>
    <w:rsid w:val="045965DF"/>
    <w:rsid w:val="046441B2"/>
    <w:rsid w:val="04671EF4"/>
    <w:rsid w:val="046C750A"/>
    <w:rsid w:val="04770389"/>
    <w:rsid w:val="0482288A"/>
    <w:rsid w:val="04956A61"/>
    <w:rsid w:val="04983E5B"/>
    <w:rsid w:val="04AB1DE0"/>
    <w:rsid w:val="04B862AB"/>
    <w:rsid w:val="04BB2A15"/>
    <w:rsid w:val="04C24726"/>
    <w:rsid w:val="04C86418"/>
    <w:rsid w:val="04CA305F"/>
    <w:rsid w:val="04CC6864"/>
    <w:rsid w:val="04D05CEB"/>
    <w:rsid w:val="04D72BD5"/>
    <w:rsid w:val="04D76BAA"/>
    <w:rsid w:val="04DA0918"/>
    <w:rsid w:val="04E15802"/>
    <w:rsid w:val="04E83AB4"/>
    <w:rsid w:val="04EB48D3"/>
    <w:rsid w:val="04FD5804"/>
    <w:rsid w:val="050140F6"/>
    <w:rsid w:val="05025778"/>
    <w:rsid w:val="05070289"/>
    <w:rsid w:val="05076CC1"/>
    <w:rsid w:val="05080FE1"/>
    <w:rsid w:val="05087233"/>
    <w:rsid w:val="05094D59"/>
    <w:rsid w:val="05126ADD"/>
    <w:rsid w:val="05257DE5"/>
    <w:rsid w:val="052878D5"/>
    <w:rsid w:val="052E656D"/>
    <w:rsid w:val="053C31DA"/>
    <w:rsid w:val="053D72FD"/>
    <w:rsid w:val="055E7B78"/>
    <w:rsid w:val="05616943"/>
    <w:rsid w:val="05657A71"/>
    <w:rsid w:val="05685F23"/>
    <w:rsid w:val="057A17B3"/>
    <w:rsid w:val="057B2ECA"/>
    <w:rsid w:val="057F6DC9"/>
    <w:rsid w:val="058767F6"/>
    <w:rsid w:val="058A5E9A"/>
    <w:rsid w:val="05A131E3"/>
    <w:rsid w:val="05A625A8"/>
    <w:rsid w:val="05AF76AE"/>
    <w:rsid w:val="05C313AC"/>
    <w:rsid w:val="05C649F8"/>
    <w:rsid w:val="05CF5FA2"/>
    <w:rsid w:val="05D67331"/>
    <w:rsid w:val="05E25CD6"/>
    <w:rsid w:val="05E748A1"/>
    <w:rsid w:val="05EA2DDC"/>
    <w:rsid w:val="05EC445F"/>
    <w:rsid w:val="05F215E8"/>
    <w:rsid w:val="060043AE"/>
    <w:rsid w:val="060F639F"/>
    <w:rsid w:val="06112117"/>
    <w:rsid w:val="061439B5"/>
    <w:rsid w:val="061B0335"/>
    <w:rsid w:val="061B2F96"/>
    <w:rsid w:val="061C7607"/>
    <w:rsid w:val="06222576"/>
    <w:rsid w:val="0624009C"/>
    <w:rsid w:val="06293905"/>
    <w:rsid w:val="062F259D"/>
    <w:rsid w:val="06316315"/>
    <w:rsid w:val="0636392C"/>
    <w:rsid w:val="06367DD0"/>
    <w:rsid w:val="064C13A1"/>
    <w:rsid w:val="065344DE"/>
    <w:rsid w:val="065A7D4D"/>
    <w:rsid w:val="065F7326"/>
    <w:rsid w:val="066606B5"/>
    <w:rsid w:val="06732DD2"/>
    <w:rsid w:val="067A4160"/>
    <w:rsid w:val="067B1C86"/>
    <w:rsid w:val="0680104B"/>
    <w:rsid w:val="068943A3"/>
    <w:rsid w:val="06896151"/>
    <w:rsid w:val="0693612E"/>
    <w:rsid w:val="069C40D7"/>
    <w:rsid w:val="06A42F8B"/>
    <w:rsid w:val="06A44D39"/>
    <w:rsid w:val="06BB2083"/>
    <w:rsid w:val="06C17510"/>
    <w:rsid w:val="06C70A28"/>
    <w:rsid w:val="06CE0E4D"/>
    <w:rsid w:val="06D118A6"/>
    <w:rsid w:val="06D27891"/>
    <w:rsid w:val="06D94D72"/>
    <w:rsid w:val="06DF5D71"/>
    <w:rsid w:val="06E72E78"/>
    <w:rsid w:val="06E93094"/>
    <w:rsid w:val="06EB0BBA"/>
    <w:rsid w:val="06ED70F3"/>
    <w:rsid w:val="06EE4206"/>
    <w:rsid w:val="06F061D0"/>
    <w:rsid w:val="07034156"/>
    <w:rsid w:val="070659F4"/>
    <w:rsid w:val="070B125C"/>
    <w:rsid w:val="070E6657"/>
    <w:rsid w:val="071874D5"/>
    <w:rsid w:val="071F6AB6"/>
    <w:rsid w:val="07231329"/>
    <w:rsid w:val="07291836"/>
    <w:rsid w:val="073360BD"/>
    <w:rsid w:val="0737795B"/>
    <w:rsid w:val="073F2CB4"/>
    <w:rsid w:val="07434552"/>
    <w:rsid w:val="07481B68"/>
    <w:rsid w:val="074B1659"/>
    <w:rsid w:val="075229E7"/>
    <w:rsid w:val="07660241"/>
    <w:rsid w:val="076B3AA9"/>
    <w:rsid w:val="076F5B99"/>
    <w:rsid w:val="07750484"/>
    <w:rsid w:val="077B5ED0"/>
    <w:rsid w:val="078447E4"/>
    <w:rsid w:val="078828AD"/>
    <w:rsid w:val="0789273F"/>
    <w:rsid w:val="0790350F"/>
    <w:rsid w:val="07911761"/>
    <w:rsid w:val="07A45BF1"/>
    <w:rsid w:val="07A80520"/>
    <w:rsid w:val="07CF228A"/>
    <w:rsid w:val="07DC0503"/>
    <w:rsid w:val="07DC6755"/>
    <w:rsid w:val="07DE24CD"/>
    <w:rsid w:val="07E06245"/>
    <w:rsid w:val="07E35D35"/>
    <w:rsid w:val="07E775D3"/>
    <w:rsid w:val="07E97E53"/>
    <w:rsid w:val="07EC4BEA"/>
    <w:rsid w:val="07F710AC"/>
    <w:rsid w:val="080041F1"/>
    <w:rsid w:val="08065580"/>
    <w:rsid w:val="08071A24"/>
    <w:rsid w:val="080F2686"/>
    <w:rsid w:val="081859DF"/>
    <w:rsid w:val="08204893"/>
    <w:rsid w:val="082F0F7A"/>
    <w:rsid w:val="08326375"/>
    <w:rsid w:val="083E11BD"/>
    <w:rsid w:val="083E7447"/>
    <w:rsid w:val="083E798D"/>
    <w:rsid w:val="084542FA"/>
    <w:rsid w:val="084560A8"/>
    <w:rsid w:val="08471E20"/>
    <w:rsid w:val="08477E9A"/>
    <w:rsid w:val="084A7B62"/>
    <w:rsid w:val="08517143"/>
    <w:rsid w:val="085434E0"/>
    <w:rsid w:val="08585DDB"/>
    <w:rsid w:val="085E28EB"/>
    <w:rsid w:val="086A3D60"/>
    <w:rsid w:val="086E55F4"/>
    <w:rsid w:val="087150EF"/>
    <w:rsid w:val="08732C15"/>
    <w:rsid w:val="087D1CE6"/>
    <w:rsid w:val="087E208C"/>
    <w:rsid w:val="08850B9A"/>
    <w:rsid w:val="088A6164"/>
    <w:rsid w:val="088A61B1"/>
    <w:rsid w:val="089332B7"/>
    <w:rsid w:val="089D7C92"/>
    <w:rsid w:val="08A2174C"/>
    <w:rsid w:val="08AD7AF4"/>
    <w:rsid w:val="08B35707"/>
    <w:rsid w:val="08BA4CE8"/>
    <w:rsid w:val="08BB280E"/>
    <w:rsid w:val="08C218A3"/>
    <w:rsid w:val="08C416C3"/>
    <w:rsid w:val="08CC0F35"/>
    <w:rsid w:val="08D31906"/>
    <w:rsid w:val="08E41D65"/>
    <w:rsid w:val="08EB30F3"/>
    <w:rsid w:val="08EE4992"/>
    <w:rsid w:val="08F06D72"/>
    <w:rsid w:val="08FA1588"/>
    <w:rsid w:val="08FC70AE"/>
    <w:rsid w:val="08FD2E27"/>
    <w:rsid w:val="09012917"/>
    <w:rsid w:val="09061CDB"/>
    <w:rsid w:val="091D0DD3"/>
    <w:rsid w:val="092263E9"/>
    <w:rsid w:val="0926237D"/>
    <w:rsid w:val="092B1742"/>
    <w:rsid w:val="092E1232"/>
    <w:rsid w:val="093A7BD7"/>
    <w:rsid w:val="09420839"/>
    <w:rsid w:val="094B3B92"/>
    <w:rsid w:val="094D790A"/>
    <w:rsid w:val="095C18FB"/>
    <w:rsid w:val="09727371"/>
    <w:rsid w:val="097430E9"/>
    <w:rsid w:val="098D7D07"/>
    <w:rsid w:val="0995305F"/>
    <w:rsid w:val="099747CB"/>
    <w:rsid w:val="09976DD7"/>
    <w:rsid w:val="09A514F4"/>
    <w:rsid w:val="09AA6B0A"/>
    <w:rsid w:val="09AD3DB5"/>
    <w:rsid w:val="09B41737"/>
    <w:rsid w:val="09BC683E"/>
    <w:rsid w:val="09BE25B6"/>
    <w:rsid w:val="09C94AB7"/>
    <w:rsid w:val="09D05E45"/>
    <w:rsid w:val="09D43B87"/>
    <w:rsid w:val="09E43159"/>
    <w:rsid w:val="09EA6F07"/>
    <w:rsid w:val="09EB0ED1"/>
    <w:rsid w:val="09F61D50"/>
    <w:rsid w:val="09F9205B"/>
    <w:rsid w:val="09FE6E56"/>
    <w:rsid w:val="0A026946"/>
    <w:rsid w:val="0A053D41"/>
    <w:rsid w:val="0A1421D6"/>
    <w:rsid w:val="0A14667A"/>
    <w:rsid w:val="0A2372A1"/>
    <w:rsid w:val="0A2D5046"/>
    <w:rsid w:val="0A3C34DB"/>
    <w:rsid w:val="0A402FCB"/>
    <w:rsid w:val="0A40746F"/>
    <w:rsid w:val="0A434869"/>
    <w:rsid w:val="0A474C75"/>
    <w:rsid w:val="0A4A5349"/>
    <w:rsid w:val="0A51342A"/>
    <w:rsid w:val="0A5151D8"/>
    <w:rsid w:val="0A5E6A25"/>
    <w:rsid w:val="0A894972"/>
    <w:rsid w:val="0A8A41C5"/>
    <w:rsid w:val="0A92032E"/>
    <w:rsid w:val="0A9A13B5"/>
    <w:rsid w:val="0A9D1254"/>
    <w:rsid w:val="0A9F23E7"/>
    <w:rsid w:val="0AA01CBB"/>
    <w:rsid w:val="0AA07F0D"/>
    <w:rsid w:val="0AA479FE"/>
    <w:rsid w:val="0AA95014"/>
    <w:rsid w:val="0AB45767"/>
    <w:rsid w:val="0ABE6256"/>
    <w:rsid w:val="0AC05EBA"/>
    <w:rsid w:val="0AC459AA"/>
    <w:rsid w:val="0ACB4F8A"/>
    <w:rsid w:val="0ACE4CED"/>
    <w:rsid w:val="0AD16319"/>
    <w:rsid w:val="0ADF0F5E"/>
    <w:rsid w:val="0AE95411"/>
    <w:rsid w:val="0AEC3153"/>
    <w:rsid w:val="0AF73FD1"/>
    <w:rsid w:val="0AFA13CC"/>
    <w:rsid w:val="0B036F8E"/>
    <w:rsid w:val="0B053E35"/>
    <w:rsid w:val="0B0B35D9"/>
    <w:rsid w:val="0B1A381C"/>
    <w:rsid w:val="0B204351"/>
    <w:rsid w:val="0B297F03"/>
    <w:rsid w:val="0B2D79F3"/>
    <w:rsid w:val="0B3D3EA6"/>
    <w:rsid w:val="0B3D750A"/>
    <w:rsid w:val="0B3F3282"/>
    <w:rsid w:val="0B422D73"/>
    <w:rsid w:val="0B423BCD"/>
    <w:rsid w:val="0B460AB5"/>
    <w:rsid w:val="0B505490"/>
    <w:rsid w:val="0B554854"/>
    <w:rsid w:val="0B557C00"/>
    <w:rsid w:val="0B57681E"/>
    <w:rsid w:val="0B582596"/>
    <w:rsid w:val="0B597776"/>
    <w:rsid w:val="0B5D3303"/>
    <w:rsid w:val="0B666A61"/>
    <w:rsid w:val="0B73117E"/>
    <w:rsid w:val="0B753148"/>
    <w:rsid w:val="0B7F5D75"/>
    <w:rsid w:val="0B892750"/>
    <w:rsid w:val="0B8D66E4"/>
    <w:rsid w:val="0B922A30"/>
    <w:rsid w:val="0B925AA8"/>
    <w:rsid w:val="0B9C2A75"/>
    <w:rsid w:val="0B9D61FB"/>
    <w:rsid w:val="0B9F1F73"/>
    <w:rsid w:val="0BA555B3"/>
    <w:rsid w:val="0BA650B0"/>
    <w:rsid w:val="0BB023D2"/>
    <w:rsid w:val="0BB51797"/>
    <w:rsid w:val="0BBF2615"/>
    <w:rsid w:val="0BC11EE9"/>
    <w:rsid w:val="0BC55E7E"/>
    <w:rsid w:val="0BC67500"/>
    <w:rsid w:val="0BCD6AE0"/>
    <w:rsid w:val="0BD04822"/>
    <w:rsid w:val="0BD16B84"/>
    <w:rsid w:val="0BE3100E"/>
    <w:rsid w:val="0BE34556"/>
    <w:rsid w:val="0BEA58E4"/>
    <w:rsid w:val="0BF26547"/>
    <w:rsid w:val="0BFE31F0"/>
    <w:rsid w:val="0C0149DC"/>
    <w:rsid w:val="0C085D6A"/>
    <w:rsid w:val="0C0B585A"/>
    <w:rsid w:val="0C0B7609"/>
    <w:rsid w:val="0C0D3381"/>
    <w:rsid w:val="0C126BE9"/>
    <w:rsid w:val="0C14470F"/>
    <w:rsid w:val="0C176D25"/>
    <w:rsid w:val="0C28640C"/>
    <w:rsid w:val="0C2A5CE1"/>
    <w:rsid w:val="0C346B5F"/>
    <w:rsid w:val="0C41302A"/>
    <w:rsid w:val="0C452B1A"/>
    <w:rsid w:val="0C476893"/>
    <w:rsid w:val="0C484AE8"/>
    <w:rsid w:val="0C4F3999"/>
    <w:rsid w:val="0C610D22"/>
    <w:rsid w:val="0C676F35"/>
    <w:rsid w:val="0C7156BE"/>
    <w:rsid w:val="0C7374AF"/>
    <w:rsid w:val="0C754EBC"/>
    <w:rsid w:val="0C782EF0"/>
    <w:rsid w:val="0C7B29E0"/>
    <w:rsid w:val="0C7D0506"/>
    <w:rsid w:val="0C8278CB"/>
    <w:rsid w:val="0C831895"/>
    <w:rsid w:val="0C851169"/>
    <w:rsid w:val="0C851C0F"/>
    <w:rsid w:val="0C88116B"/>
    <w:rsid w:val="0C8837C2"/>
    <w:rsid w:val="0C937D2A"/>
    <w:rsid w:val="0CA77C24"/>
    <w:rsid w:val="0CAA0BCF"/>
    <w:rsid w:val="0CAF4438"/>
    <w:rsid w:val="0CB34126"/>
    <w:rsid w:val="0CB87790"/>
    <w:rsid w:val="0CBE28CD"/>
    <w:rsid w:val="0CC779D3"/>
    <w:rsid w:val="0CC945AD"/>
    <w:rsid w:val="0CD41FCF"/>
    <w:rsid w:val="0CE95B9C"/>
    <w:rsid w:val="0CEB4B9A"/>
    <w:rsid w:val="0CF167FE"/>
    <w:rsid w:val="0CF4009D"/>
    <w:rsid w:val="0CF462EF"/>
    <w:rsid w:val="0D020A0B"/>
    <w:rsid w:val="0D10175C"/>
    <w:rsid w:val="0D116EA1"/>
    <w:rsid w:val="0D1424ED"/>
    <w:rsid w:val="0D1534C3"/>
    <w:rsid w:val="0D181FDD"/>
    <w:rsid w:val="0D1B1ACD"/>
    <w:rsid w:val="0D1D3A97"/>
    <w:rsid w:val="0D240982"/>
    <w:rsid w:val="0D2941EA"/>
    <w:rsid w:val="0D2C3CDA"/>
    <w:rsid w:val="0D3F756A"/>
    <w:rsid w:val="0D4032E2"/>
    <w:rsid w:val="0D554FDF"/>
    <w:rsid w:val="0D6214AA"/>
    <w:rsid w:val="0D6C1EC4"/>
    <w:rsid w:val="0D6E42F3"/>
    <w:rsid w:val="0D90434F"/>
    <w:rsid w:val="0D9A6E96"/>
    <w:rsid w:val="0D9F625A"/>
    <w:rsid w:val="0DA30432"/>
    <w:rsid w:val="0DA87805"/>
    <w:rsid w:val="0DB22432"/>
    <w:rsid w:val="0DBC6E0C"/>
    <w:rsid w:val="0DBF4B4E"/>
    <w:rsid w:val="0DC12675"/>
    <w:rsid w:val="0DC45CC1"/>
    <w:rsid w:val="0DC722B1"/>
    <w:rsid w:val="0DCB704F"/>
    <w:rsid w:val="0DCE08EE"/>
    <w:rsid w:val="0DE819AF"/>
    <w:rsid w:val="0DF465A6"/>
    <w:rsid w:val="0DFD0C68"/>
    <w:rsid w:val="0E032C8D"/>
    <w:rsid w:val="0E06277D"/>
    <w:rsid w:val="0E1E6BF2"/>
    <w:rsid w:val="0E2055ED"/>
    <w:rsid w:val="0E214EC1"/>
    <w:rsid w:val="0E230C39"/>
    <w:rsid w:val="0E2624D8"/>
    <w:rsid w:val="0E303356"/>
    <w:rsid w:val="0E342E47"/>
    <w:rsid w:val="0E4B63E2"/>
    <w:rsid w:val="0E4F0A69"/>
    <w:rsid w:val="0E4F7C80"/>
    <w:rsid w:val="0E543DF2"/>
    <w:rsid w:val="0E576B35"/>
    <w:rsid w:val="0E5C414B"/>
    <w:rsid w:val="0E63372C"/>
    <w:rsid w:val="0E6D6359"/>
    <w:rsid w:val="0E6F20D1"/>
    <w:rsid w:val="0E6F3E7F"/>
    <w:rsid w:val="0E72571D"/>
    <w:rsid w:val="0E747468"/>
    <w:rsid w:val="0E975183"/>
    <w:rsid w:val="0E9B1118"/>
    <w:rsid w:val="0E9B4C74"/>
    <w:rsid w:val="0E9D4E90"/>
    <w:rsid w:val="0E9F0D82"/>
    <w:rsid w:val="0EA24254"/>
    <w:rsid w:val="0EB36461"/>
    <w:rsid w:val="0EB9334C"/>
    <w:rsid w:val="0EBB5316"/>
    <w:rsid w:val="0EC35F79"/>
    <w:rsid w:val="0EDB4E37"/>
    <w:rsid w:val="0EDD6F0A"/>
    <w:rsid w:val="0EDE2DB2"/>
    <w:rsid w:val="0EDF7256"/>
    <w:rsid w:val="0EE27EFA"/>
    <w:rsid w:val="0EEC54CF"/>
    <w:rsid w:val="0EF024FE"/>
    <w:rsid w:val="0EFB3964"/>
    <w:rsid w:val="0F022F45"/>
    <w:rsid w:val="0F0547E3"/>
    <w:rsid w:val="0F087E2F"/>
    <w:rsid w:val="0F0F5662"/>
    <w:rsid w:val="0F16079E"/>
    <w:rsid w:val="0F172FDC"/>
    <w:rsid w:val="0F20161D"/>
    <w:rsid w:val="0F2033CB"/>
    <w:rsid w:val="0F20385F"/>
    <w:rsid w:val="0F296723"/>
    <w:rsid w:val="0F2F1860"/>
    <w:rsid w:val="0F317386"/>
    <w:rsid w:val="0F34210E"/>
    <w:rsid w:val="0F3F7CF5"/>
    <w:rsid w:val="0F451083"/>
    <w:rsid w:val="0F4672D5"/>
    <w:rsid w:val="0F566DED"/>
    <w:rsid w:val="0F5B4403"/>
    <w:rsid w:val="0F5D63CD"/>
    <w:rsid w:val="0F6239E3"/>
    <w:rsid w:val="0F6C4862"/>
    <w:rsid w:val="0F6E05DA"/>
    <w:rsid w:val="0F865924"/>
    <w:rsid w:val="0F8B2F3A"/>
    <w:rsid w:val="0F8B4CE8"/>
    <w:rsid w:val="0F8B7C8F"/>
    <w:rsid w:val="0F9C5147"/>
    <w:rsid w:val="0FA67D74"/>
    <w:rsid w:val="0FA77648"/>
    <w:rsid w:val="0FAB0EE6"/>
    <w:rsid w:val="0FAB538A"/>
    <w:rsid w:val="0FAC1A22"/>
    <w:rsid w:val="0FB12275"/>
    <w:rsid w:val="0FB51D65"/>
    <w:rsid w:val="0FB576BA"/>
    <w:rsid w:val="0FBD50BE"/>
    <w:rsid w:val="0FD3494E"/>
    <w:rsid w:val="0FE10DAC"/>
    <w:rsid w:val="0FE4642B"/>
    <w:rsid w:val="0FEA729A"/>
    <w:rsid w:val="0FED14FF"/>
    <w:rsid w:val="10020672"/>
    <w:rsid w:val="10142F30"/>
    <w:rsid w:val="10150A56"/>
    <w:rsid w:val="102D5D9F"/>
    <w:rsid w:val="10376C1E"/>
    <w:rsid w:val="10394744"/>
    <w:rsid w:val="10437371"/>
    <w:rsid w:val="10480E2B"/>
    <w:rsid w:val="104906FF"/>
    <w:rsid w:val="104A4BA3"/>
    <w:rsid w:val="10505FAA"/>
    <w:rsid w:val="10521CAA"/>
    <w:rsid w:val="10553833"/>
    <w:rsid w:val="10593038"/>
    <w:rsid w:val="105B0B5E"/>
    <w:rsid w:val="105E41AB"/>
    <w:rsid w:val="10675755"/>
    <w:rsid w:val="10677765"/>
    <w:rsid w:val="1077526D"/>
    <w:rsid w:val="107F4121"/>
    <w:rsid w:val="1088747A"/>
    <w:rsid w:val="109951E3"/>
    <w:rsid w:val="10A342B4"/>
    <w:rsid w:val="10A51DDA"/>
    <w:rsid w:val="10A65B52"/>
    <w:rsid w:val="10A83678"/>
    <w:rsid w:val="10C34956"/>
    <w:rsid w:val="10C71B2C"/>
    <w:rsid w:val="10C86CB3"/>
    <w:rsid w:val="10D25671"/>
    <w:rsid w:val="10DD5A17"/>
    <w:rsid w:val="10E2302E"/>
    <w:rsid w:val="10E5667A"/>
    <w:rsid w:val="10F80088"/>
    <w:rsid w:val="11020FDA"/>
    <w:rsid w:val="11032FA4"/>
    <w:rsid w:val="110D3EBD"/>
    <w:rsid w:val="110E5BD1"/>
    <w:rsid w:val="111635D3"/>
    <w:rsid w:val="111D7BC2"/>
    <w:rsid w:val="11276C93"/>
    <w:rsid w:val="112A22DF"/>
    <w:rsid w:val="112E6273"/>
    <w:rsid w:val="11364558"/>
    <w:rsid w:val="11380EA0"/>
    <w:rsid w:val="113B273E"/>
    <w:rsid w:val="113F222E"/>
    <w:rsid w:val="11401B02"/>
    <w:rsid w:val="11407D54"/>
    <w:rsid w:val="114710E3"/>
    <w:rsid w:val="11586E4C"/>
    <w:rsid w:val="11663069"/>
    <w:rsid w:val="11755C50"/>
    <w:rsid w:val="118916FB"/>
    <w:rsid w:val="118E6D12"/>
    <w:rsid w:val="119105B0"/>
    <w:rsid w:val="11963E18"/>
    <w:rsid w:val="119E7DA2"/>
    <w:rsid w:val="11A16A45"/>
    <w:rsid w:val="11A227BD"/>
    <w:rsid w:val="11A42091"/>
    <w:rsid w:val="11C049F1"/>
    <w:rsid w:val="11CB3AC2"/>
    <w:rsid w:val="11D1755F"/>
    <w:rsid w:val="11D230A2"/>
    <w:rsid w:val="11D24E50"/>
    <w:rsid w:val="11D54941"/>
    <w:rsid w:val="11E44B84"/>
    <w:rsid w:val="11E507BB"/>
    <w:rsid w:val="11F03528"/>
    <w:rsid w:val="11F06C5E"/>
    <w:rsid w:val="11F254F3"/>
    <w:rsid w:val="11F46B43"/>
    <w:rsid w:val="1208035F"/>
    <w:rsid w:val="12096398"/>
    <w:rsid w:val="120B3EBE"/>
    <w:rsid w:val="121E0096"/>
    <w:rsid w:val="12274A70"/>
    <w:rsid w:val="123C01CE"/>
    <w:rsid w:val="12415B32"/>
    <w:rsid w:val="12485112"/>
    <w:rsid w:val="124D2729"/>
    <w:rsid w:val="12597320"/>
    <w:rsid w:val="126B3FF7"/>
    <w:rsid w:val="126C28B6"/>
    <w:rsid w:val="127203E1"/>
    <w:rsid w:val="12791770"/>
    <w:rsid w:val="127A66CA"/>
    <w:rsid w:val="127D1368"/>
    <w:rsid w:val="129E6496"/>
    <w:rsid w:val="12A06CFD"/>
    <w:rsid w:val="12AB744F"/>
    <w:rsid w:val="12AF0CEE"/>
    <w:rsid w:val="12B46304"/>
    <w:rsid w:val="12B72298"/>
    <w:rsid w:val="12B96010"/>
    <w:rsid w:val="12BB3B36"/>
    <w:rsid w:val="12C7072D"/>
    <w:rsid w:val="12D60970"/>
    <w:rsid w:val="12EC1DC3"/>
    <w:rsid w:val="12ED1816"/>
    <w:rsid w:val="12EF1A32"/>
    <w:rsid w:val="12F72695"/>
    <w:rsid w:val="12FB03D7"/>
    <w:rsid w:val="13021765"/>
    <w:rsid w:val="132A0CBC"/>
    <w:rsid w:val="132E255A"/>
    <w:rsid w:val="132F62D2"/>
    <w:rsid w:val="13347445"/>
    <w:rsid w:val="13427DB4"/>
    <w:rsid w:val="13477178"/>
    <w:rsid w:val="134C0C32"/>
    <w:rsid w:val="13517FF7"/>
    <w:rsid w:val="135D6FD9"/>
    <w:rsid w:val="136A730B"/>
    <w:rsid w:val="138E4DA7"/>
    <w:rsid w:val="1393060F"/>
    <w:rsid w:val="13963C5C"/>
    <w:rsid w:val="1399374C"/>
    <w:rsid w:val="139D323C"/>
    <w:rsid w:val="13B245EF"/>
    <w:rsid w:val="13B72BC5"/>
    <w:rsid w:val="13BA0A4B"/>
    <w:rsid w:val="13BA3DEE"/>
    <w:rsid w:val="13C133CE"/>
    <w:rsid w:val="13C407C9"/>
    <w:rsid w:val="13C7650B"/>
    <w:rsid w:val="13C95DDF"/>
    <w:rsid w:val="13CF716E"/>
    <w:rsid w:val="13D36C5E"/>
    <w:rsid w:val="13E04C61"/>
    <w:rsid w:val="13E41171"/>
    <w:rsid w:val="13EB16A5"/>
    <w:rsid w:val="13EB3FA7"/>
    <w:rsid w:val="13EB4F75"/>
    <w:rsid w:val="13EE5846"/>
    <w:rsid w:val="14045069"/>
    <w:rsid w:val="140B464A"/>
    <w:rsid w:val="140C2170"/>
    <w:rsid w:val="141554C8"/>
    <w:rsid w:val="14186D67"/>
    <w:rsid w:val="142E0338"/>
    <w:rsid w:val="142E20E6"/>
    <w:rsid w:val="14372139"/>
    <w:rsid w:val="143E1151"/>
    <w:rsid w:val="144B2C98"/>
    <w:rsid w:val="144D5F56"/>
    <w:rsid w:val="14596DEA"/>
    <w:rsid w:val="146975C2"/>
    <w:rsid w:val="147564C5"/>
    <w:rsid w:val="14777F31"/>
    <w:rsid w:val="147F6DE6"/>
    <w:rsid w:val="14847F58"/>
    <w:rsid w:val="148901C0"/>
    <w:rsid w:val="148C57B2"/>
    <w:rsid w:val="14A36EC0"/>
    <w:rsid w:val="14B0380B"/>
    <w:rsid w:val="14B60A59"/>
    <w:rsid w:val="14CF1B1B"/>
    <w:rsid w:val="14CF5677"/>
    <w:rsid w:val="14D17EAA"/>
    <w:rsid w:val="14D42C8D"/>
    <w:rsid w:val="14DB04C0"/>
    <w:rsid w:val="14DB2C85"/>
    <w:rsid w:val="14DF1632"/>
    <w:rsid w:val="14E24596"/>
    <w:rsid w:val="14EB6229"/>
    <w:rsid w:val="14EB7FD7"/>
    <w:rsid w:val="14F53680"/>
    <w:rsid w:val="151237B6"/>
    <w:rsid w:val="15141100"/>
    <w:rsid w:val="1514752E"/>
    <w:rsid w:val="15155054"/>
    <w:rsid w:val="1518135C"/>
    <w:rsid w:val="151A266A"/>
    <w:rsid w:val="151B08BC"/>
    <w:rsid w:val="151E03AD"/>
    <w:rsid w:val="15266A38"/>
    <w:rsid w:val="1528122B"/>
    <w:rsid w:val="15347BD0"/>
    <w:rsid w:val="15393438"/>
    <w:rsid w:val="153F17F0"/>
    <w:rsid w:val="15436065"/>
    <w:rsid w:val="15485429"/>
    <w:rsid w:val="154A11A2"/>
    <w:rsid w:val="1557566D"/>
    <w:rsid w:val="155C2A62"/>
    <w:rsid w:val="156009C5"/>
    <w:rsid w:val="15610299"/>
    <w:rsid w:val="157929EA"/>
    <w:rsid w:val="158226E9"/>
    <w:rsid w:val="15852FCA"/>
    <w:rsid w:val="15877D00"/>
    <w:rsid w:val="158C5316"/>
    <w:rsid w:val="158E5532"/>
    <w:rsid w:val="15AF7257"/>
    <w:rsid w:val="15B61697"/>
    <w:rsid w:val="15BE0F83"/>
    <w:rsid w:val="15C34FE7"/>
    <w:rsid w:val="15CE592F"/>
    <w:rsid w:val="15E038B4"/>
    <w:rsid w:val="15E50ECA"/>
    <w:rsid w:val="15E52C78"/>
    <w:rsid w:val="15E769F0"/>
    <w:rsid w:val="15E96C0C"/>
    <w:rsid w:val="15EA75B4"/>
    <w:rsid w:val="15F07F9B"/>
    <w:rsid w:val="15F86E50"/>
    <w:rsid w:val="15FF1F8C"/>
    <w:rsid w:val="160475A2"/>
    <w:rsid w:val="16077093"/>
    <w:rsid w:val="160E0421"/>
    <w:rsid w:val="16113A6D"/>
    <w:rsid w:val="162639BD"/>
    <w:rsid w:val="163065E9"/>
    <w:rsid w:val="1635775C"/>
    <w:rsid w:val="164050A6"/>
    <w:rsid w:val="16481603"/>
    <w:rsid w:val="164B3423"/>
    <w:rsid w:val="165D6CB3"/>
    <w:rsid w:val="16725BFA"/>
    <w:rsid w:val="167504A0"/>
    <w:rsid w:val="167B4492"/>
    <w:rsid w:val="167C182F"/>
    <w:rsid w:val="168A2EA6"/>
    <w:rsid w:val="168B1A72"/>
    <w:rsid w:val="168D3A3C"/>
    <w:rsid w:val="16976668"/>
    <w:rsid w:val="169C5A2D"/>
    <w:rsid w:val="16AE750E"/>
    <w:rsid w:val="16B9038D"/>
    <w:rsid w:val="16BA2357"/>
    <w:rsid w:val="16C3745D"/>
    <w:rsid w:val="16D12EB7"/>
    <w:rsid w:val="16D57191"/>
    <w:rsid w:val="16DC407B"/>
    <w:rsid w:val="16DF26A8"/>
    <w:rsid w:val="16E50392"/>
    <w:rsid w:val="16E66CA8"/>
    <w:rsid w:val="16F13FCB"/>
    <w:rsid w:val="16F67704"/>
    <w:rsid w:val="16F92E7F"/>
    <w:rsid w:val="16FC471D"/>
    <w:rsid w:val="170F65CC"/>
    <w:rsid w:val="171A4BA4"/>
    <w:rsid w:val="171B1048"/>
    <w:rsid w:val="17214184"/>
    <w:rsid w:val="1723614E"/>
    <w:rsid w:val="172C5003"/>
    <w:rsid w:val="172F4AF3"/>
    <w:rsid w:val="173E3944"/>
    <w:rsid w:val="17435EA8"/>
    <w:rsid w:val="174B2FAF"/>
    <w:rsid w:val="174D4F79"/>
    <w:rsid w:val="175E68E7"/>
    <w:rsid w:val="1763654B"/>
    <w:rsid w:val="17667DE9"/>
    <w:rsid w:val="178C102A"/>
    <w:rsid w:val="178F2FEA"/>
    <w:rsid w:val="179E3A27"/>
    <w:rsid w:val="17A50911"/>
    <w:rsid w:val="17A74689"/>
    <w:rsid w:val="17A80401"/>
    <w:rsid w:val="17AE3C6A"/>
    <w:rsid w:val="17AF353E"/>
    <w:rsid w:val="17B40B54"/>
    <w:rsid w:val="17BB6387"/>
    <w:rsid w:val="17BD5C5B"/>
    <w:rsid w:val="17D47448"/>
    <w:rsid w:val="17D64F6F"/>
    <w:rsid w:val="17DB07D7"/>
    <w:rsid w:val="17E51656"/>
    <w:rsid w:val="17EA0A1A"/>
    <w:rsid w:val="17EA27C8"/>
    <w:rsid w:val="17EE050A"/>
    <w:rsid w:val="17EE22B8"/>
    <w:rsid w:val="17EF6030"/>
    <w:rsid w:val="17F453F5"/>
    <w:rsid w:val="17F51899"/>
    <w:rsid w:val="17F84EE5"/>
    <w:rsid w:val="17FF2717"/>
    <w:rsid w:val="1801066A"/>
    <w:rsid w:val="18027B12"/>
    <w:rsid w:val="18047D2E"/>
    <w:rsid w:val="181810E3"/>
    <w:rsid w:val="18185587"/>
    <w:rsid w:val="182932F0"/>
    <w:rsid w:val="18363C5F"/>
    <w:rsid w:val="18477C1A"/>
    <w:rsid w:val="185A794E"/>
    <w:rsid w:val="18622CA6"/>
    <w:rsid w:val="187C3D68"/>
    <w:rsid w:val="18866995"/>
    <w:rsid w:val="188B3FAB"/>
    <w:rsid w:val="188D1AD1"/>
    <w:rsid w:val="189664AC"/>
    <w:rsid w:val="18982224"/>
    <w:rsid w:val="18985726"/>
    <w:rsid w:val="18A84B5D"/>
    <w:rsid w:val="18A8690B"/>
    <w:rsid w:val="18AB1F57"/>
    <w:rsid w:val="18B90B18"/>
    <w:rsid w:val="18C2724C"/>
    <w:rsid w:val="18D86AC4"/>
    <w:rsid w:val="18DE232D"/>
    <w:rsid w:val="18E84F59"/>
    <w:rsid w:val="18F71640"/>
    <w:rsid w:val="190D565C"/>
    <w:rsid w:val="19110562"/>
    <w:rsid w:val="19121124"/>
    <w:rsid w:val="1912647A"/>
    <w:rsid w:val="19145D4E"/>
    <w:rsid w:val="19157D18"/>
    <w:rsid w:val="191B532F"/>
    <w:rsid w:val="192341E3"/>
    <w:rsid w:val="19251C06"/>
    <w:rsid w:val="192B3098"/>
    <w:rsid w:val="1931653F"/>
    <w:rsid w:val="193463F1"/>
    <w:rsid w:val="19377C8F"/>
    <w:rsid w:val="194261E9"/>
    <w:rsid w:val="19466124"/>
    <w:rsid w:val="194A5C14"/>
    <w:rsid w:val="194A79C2"/>
    <w:rsid w:val="194F1527"/>
    <w:rsid w:val="194F4FD8"/>
    <w:rsid w:val="195A5B92"/>
    <w:rsid w:val="19650358"/>
    <w:rsid w:val="196565AA"/>
    <w:rsid w:val="196818D5"/>
    <w:rsid w:val="1977008B"/>
    <w:rsid w:val="197902A7"/>
    <w:rsid w:val="19793E03"/>
    <w:rsid w:val="197C1B46"/>
    <w:rsid w:val="198C7FDB"/>
    <w:rsid w:val="198D5B01"/>
    <w:rsid w:val="198F3627"/>
    <w:rsid w:val="199649B5"/>
    <w:rsid w:val="199D6EBF"/>
    <w:rsid w:val="19A03A86"/>
    <w:rsid w:val="19A76BC3"/>
    <w:rsid w:val="19AC0E4C"/>
    <w:rsid w:val="19B117EF"/>
    <w:rsid w:val="19BE5CBA"/>
    <w:rsid w:val="19C06CAA"/>
    <w:rsid w:val="19C07C84"/>
    <w:rsid w:val="19C53278"/>
    <w:rsid w:val="19C57049"/>
    <w:rsid w:val="19C72DC1"/>
    <w:rsid w:val="19C84D8B"/>
    <w:rsid w:val="19D83220"/>
    <w:rsid w:val="19DB4ABE"/>
    <w:rsid w:val="19F45B80"/>
    <w:rsid w:val="19F811CC"/>
    <w:rsid w:val="19F85670"/>
    <w:rsid w:val="19F93196"/>
    <w:rsid w:val="1A0C2EC9"/>
    <w:rsid w:val="1A11040C"/>
    <w:rsid w:val="1A1A3838"/>
    <w:rsid w:val="1A1B135F"/>
    <w:rsid w:val="1A332204"/>
    <w:rsid w:val="1A357D56"/>
    <w:rsid w:val="1A3B37AF"/>
    <w:rsid w:val="1A3D12D5"/>
    <w:rsid w:val="1A475CB0"/>
    <w:rsid w:val="1A476EB4"/>
    <w:rsid w:val="1A4B792C"/>
    <w:rsid w:val="1A646862"/>
    <w:rsid w:val="1A654388"/>
    <w:rsid w:val="1A6B5E42"/>
    <w:rsid w:val="1A7A7E33"/>
    <w:rsid w:val="1A7B3BAB"/>
    <w:rsid w:val="1A8213DE"/>
    <w:rsid w:val="1A9058A9"/>
    <w:rsid w:val="1A965070"/>
    <w:rsid w:val="1A9F5AEC"/>
    <w:rsid w:val="1AA41354"/>
    <w:rsid w:val="1AA43102"/>
    <w:rsid w:val="1AA9696A"/>
    <w:rsid w:val="1AAE22C4"/>
    <w:rsid w:val="1ABF618E"/>
    <w:rsid w:val="1AC27A2C"/>
    <w:rsid w:val="1AC47300"/>
    <w:rsid w:val="1AC90DBB"/>
    <w:rsid w:val="1AE23C2A"/>
    <w:rsid w:val="1AEE0821"/>
    <w:rsid w:val="1AF35E37"/>
    <w:rsid w:val="1AF57E02"/>
    <w:rsid w:val="1AF8344E"/>
    <w:rsid w:val="1AFC1190"/>
    <w:rsid w:val="1B040045"/>
    <w:rsid w:val="1B0911B7"/>
    <w:rsid w:val="1B18685E"/>
    <w:rsid w:val="1B1A1616"/>
    <w:rsid w:val="1B1C0EEA"/>
    <w:rsid w:val="1B216501"/>
    <w:rsid w:val="1B245FF1"/>
    <w:rsid w:val="1B291859"/>
    <w:rsid w:val="1B487F31"/>
    <w:rsid w:val="1B4F7512"/>
    <w:rsid w:val="1B520DB0"/>
    <w:rsid w:val="1B590390"/>
    <w:rsid w:val="1B5A7C65"/>
    <w:rsid w:val="1B6B1E72"/>
    <w:rsid w:val="1B6D5DD1"/>
    <w:rsid w:val="1B742AD4"/>
    <w:rsid w:val="1B7927E1"/>
    <w:rsid w:val="1B8076CB"/>
    <w:rsid w:val="1B83540D"/>
    <w:rsid w:val="1B866CAC"/>
    <w:rsid w:val="1B8D1DE8"/>
    <w:rsid w:val="1B9211AC"/>
    <w:rsid w:val="1B965141"/>
    <w:rsid w:val="1B9B2757"/>
    <w:rsid w:val="1B9E2247"/>
    <w:rsid w:val="1BA0581C"/>
    <w:rsid w:val="1BA535D6"/>
    <w:rsid w:val="1BAD248A"/>
    <w:rsid w:val="1BB47375"/>
    <w:rsid w:val="1BBF5A88"/>
    <w:rsid w:val="1BC31CAE"/>
    <w:rsid w:val="1BCA6B98"/>
    <w:rsid w:val="1BD45C69"/>
    <w:rsid w:val="1BD6378F"/>
    <w:rsid w:val="1BE35EAC"/>
    <w:rsid w:val="1BE55780"/>
    <w:rsid w:val="1BEC6B0F"/>
    <w:rsid w:val="1BF27E9D"/>
    <w:rsid w:val="1BF65BDF"/>
    <w:rsid w:val="1BF855C0"/>
    <w:rsid w:val="1BF9122C"/>
    <w:rsid w:val="1BFB31F6"/>
    <w:rsid w:val="1BFB4FA4"/>
    <w:rsid w:val="1C0302FC"/>
    <w:rsid w:val="1C0876C1"/>
    <w:rsid w:val="1C095DD3"/>
    <w:rsid w:val="1C281B11"/>
    <w:rsid w:val="1C37598E"/>
    <w:rsid w:val="1C395ACC"/>
    <w:rsid w:val="1C4C57FF"/>
    <w:rsid w:val="1C646FED"/>
    <w:rsid w:val="1C686B25"/>
    <w:rsid w:val="1C6B24A7"/>
    <w:rsid w:val="1C6C5EA1"/>
    <w:rsid w:val="1C71170A"/>
    <w:rsid w:val="1C7D3C0B"/>
    <w:rsid w:val="1C7E5ABB"/>
    <w:rsid w:val="1C821221"/>
    <w:rsid w:val="1C887A5A"/>
    <w:rsid w:val="1C8A6328"/>
    <w:rsid w:val="1C9D42AD"/>
    <w:rsid w:val="1CA27B15"/>
    <w:rsid w:val="1CAC44F0"/>
    <w:rsid w:val="1CB6711D"/>
    <w:rsid w:val="1CBD04AB"/>
    <w:rsid w:val="1CBF353B"/>
    <w:rsid w:val="1CC01D49"/>
    <w:rsid w:val="1CC25AC1"/>
    <w:rsid w:val="1CCE4466"/>
    <w:rsid w:val="1CD75A11"/>
    <w:rsid w:val="1CDA364E"/>
    <w:rsid w:val="1CDB0CDF"/>
    <w:rsid w:val="1CDB6B83"/>
    <w:rsid w:val="1CE41EDC"/>
    <w:rsid w:val="1CE912A0"/>
    <w:rsid w:val="1CED6FE2"/>
    <w:rsid w:val="1CF06AD2"/>
    <w:rsid w:val="1CF55E97"/>
    <w:rsid w:val="1D04257E"/>
    <w:rsid w:val="1D063C00"/>
    <w:rsid w:val="1D0D1432"/>
    <w:rsid w:val="1D102CD1"/>
    <w:rsid w:val="1D1502E7"/>
    <w:rsid w:val="1D2247B2"/>
    <w:rsid w:val="1D2B3667"/>
    <w:rsid w:val="1D2E13A9"/>
    <w:rsid w:val="1D2E3157"/>
    <w:rsid w:val="1D3C1D18"/>
    <w:rsid w:val="1D412E8A"/>
    <w:rsid w:val="1D464944"/>
    <w:rsid w:val="1D596426"/>
    <w:rsid w:val="1D5D053C"/>
    <w:rsid w:val="1D740804"/>
    <w:rsid w:val="1D752B34"/>
    <w:rsid w:val="1D756FD8"/>
    <w:rsid w:val="1D7A45EE"/>
    <w:rsid w:val="1D8D4321"/>
    <w:rsid w:val="1D94745E"/>
    <w:rsid w:val="1D9C4564"/>
    <w:rsid w:val="1DA04055"/>
    <w:rsid w:val="1DA71E95"/>
    <w:rsid w:val="1DA816C1"/>
    <w:rsid w:val="1DAB29F9"/>
    <w:rsid w:val="1DB00010"/>
    <w:rsid w:val="1DB4204A"/>
    <w:rsid w:val="1DB55626"/>
    <w:rsid w:val="1DB63878"/>
    <w:rsid w:val="1DB93368"/>
    <w:rsid w:val="1DB96EC4"/>
    <w:rsid w:val="1DC51D0D"/>
    <w:rsid w:val="1DC87107"/>
    <w:rsid w:val="1DD2442A"/>
    <w:rsid w:val="1DD420CA"/>
    <w:rsid w:val="1DD45AAC"/>
    <w:rsid w:val="1DE648CA"/>
    <w:rsid w:val="1DE859FC"/>
    <w:rsid w:val="1DEA3522"/>
    <w:rsid w:val="1DFE6FCD"/>
    <w:rsid w:val="1E002D45"/>
    <w:rsid w:val="1E0068A1"/>
    <w:rsid w:val="1E026ABD"/>
    <w:rsid w:val="1E0345E3"/>
    <w:rsid w:val="1E087E4C"/>
    <w:rsid w:val="1E0A5972"/>
    <w:rsid w:val="1E116CA0"/>
    <w:rsid w:val="1E19009A"/>
    <w:rsid w:val="1E1E4F79"/>
    <w:rsid w:val="1E214A6A"/>
    <w:rsid w:val="1E270330"/>
    <w:rsid w:val="1E3429EF"/>
    <w:rsid w:val="1E3824DF"/>
    <w:rsid w:val="1E4075E6"/>
    <w:rsid w:val="1E470974"/>
    <w:rsid w:val="1E48649A"/>
    <w:rsid w:val="1E4C7D38"/>
    <w:rsid w:val="1E537319"/>
    <w:rsid w:val="1E5552E0"/>
    <w:rsid w:val="1E560BB7"/>
    <w:rsid w:val="1E8474D2"/>
    <w:rsid w:val="1E875215"/>
    <w:rsid w:val="1E935967"/>
    <w:rsid w:val="1E957931"/>
    <w:rsid w:val="1E9B2A6E"/>
    <w:rsid w:val="1EA638ED"/>
    <w:rsid w:val="1EAC6A29"/>
    <w:rsid w:val="1EAD0B6F"/>
    <w:rsid w:val="1EC57AEB"/>
    <w:rsid w:val="1EC91389"/>
    <w:rsid w:val="1ED0096A"/>
    <w:rsid w:val="1EE91A2B"/>
    <w:rsid w:val="1EEC1283"/>
    <w:rsid w:val="1EF74148"/>
    <w:rsid w:val="1EFA334B"/>
    <w:rsid w:val="1F0B7BF4"/>
    <w:rsid w:val="1F136AA8"/>
    <w:rsid w:val="1F2B5BA0"/>
    <w:rsid w:val="1F3709E9"/>
    <w:rsid w:val="1F38206B"/>
    <w:rsid w:val="1F394761"/>
    <w:rsid w:val="1F413615"/>
    <w:rsid w:val="1F417171"/>
    <w:rsid w:val="1F4B4494"/>
    <w:rsid w:val="1F4B7FF0"/>
    <w:rsid w:val="1F59535D"/>
    <w:rsid w:val="1F5C21FD"/>
    <w:rsid w:val="1F5E41C7"/>
    <w:rsid w:val="1F6D61B8"/>
    <w:rsid w:val="1F6F5E24"/>
    <w:rsid w:val="1F703EFB"/>
    <w:rsid w:val="1F77688F"/>
    <w:rsid w:val="1F7C63FB"/>
    <w:rsid w:val="1F881665"/>
    <w:rsid w:val="1F8B5130"/>
    <w:rsid w:val="1F8D0609"/>
    <w:rsid w:val="1F8E75EF"/>
    <w:rsid w:val="1F947BE9"/>
    <w:rsid w:val="1F9951FF"/>
    <w:rsid w:val="1FB57B5F"/>
    <w:rsid w:val="1FB65DB1"/>
    <w:rsid w:val="1FBC7140"/>
    <w:rsid w:val="1FBE6A14"/>
    <w:rsid w:val="1FC10EBC"/>
    <w:rsid w:val="1FCA1A3C"/>
    <w:rsid w:val="1FCD30FB"/>
    <w:rsid w:val="1FCE4E9A"/>
    <w:rsid w:val="1FD06747"/>
    <w:rsid w:val="1FD471C5"/>
    <w:rsid w:val="1FD47FE6"/>
    <w:rsid w:val="1FDC34B9"/>
    <w:rsid w:val="1FE83A91"/>
    <w:rsid w:val="1FF70178"/>
    <w:rsid w:val="1FF93EF0"/>
    <w:rsid w:val="1FFB37C4"/>
    <w:rsid w:val="1FFB7C68"/>
    <w:rsid w:val="20000DDB"/>
    <w:rsid w:val="2000702C"/>
    <w:rsid w:val="20016901"/>
    <w:rsid w:val="20043956"/>
    <w:rsid w:val="201752D0"/>
    <w:rsid w:val="202820DF"/>
    <w:rsid w:val="2039253E"/>
    <w:rsid w:val="203D202F"/>
    <w:rsid w:val="204D1B46"/>
    <w:rsid w:val="205B24B5"/>
    <w:rsid w:val="205C7FDB"/>
    <w:rsid w:val="205D1528"/>
    <w:rsid w:val="20631369"/>
    <w:rsid w:val="20744ABB"/>
    <w:rsid w:val="20776781"/>
    <w:rsid w:val="20784E15"/>
    <w:rsid w:val="207B2B57"/>
    <w:rsid w:val="207D067D"/>
    <w:rsid w:val="20831A0C"/>
    <w:rsid w:val="20873A5C"/>
    <w:rsid w:val="208E288A"/>
    <w:rsid w:val="208F03B0"/>
    <w:rsid w:val="20974E3E"/>
    <w:rsid w:val="20994D8B"/>
    <w:rsid w:val="20A025BE"/>
    <w:rsid w:val="20B00A53"/>
    <w:rsid w:val="20B322FE"/>
    <w:rsid w:val="20BD6CCC"/>
    <w:rsid w:val="20C04A0E"/>
    <w:rsid w:val="20CE3F85"/>
    <w:rsid w:val="20D01727"/>
    <w:rsid w:val="20D14525"/>
    <w:rsid w:val="20D44015"/>
    <w:rsid w:val="20DE6C42"/>
    <w:rsid w:val="20E406FC"/>
    <w:rsid w:val="20E64474"/>
    <w:rsid w:val="20EE3329"/>
    <w:rsid w:val="210668C5"/>
    <w:rsid w:val="2108633C"/>
    <w:rsid w:val="211865F8"/>
    <w:rsid w:val="212154AC"/>
    <w:rsid w:val="21341BD9"/>
    <w:rsid w:val="214178FD"/>
    <w:rsid w:val="21425423"/>
    <w:rsid w:val="2144119B"/>
    <w:rsid w:val="21507B40"/>
    <w:rsid w:val="21515666"/>
    <w:rsid w:val="2159252D"/>
    <w:rsid w:val="215A276C"/>
    <w:rsid w:val="216B55FE"/>
    <w:rsid w:val="216E3FC7"/>
    <w:rsid w:val="216E446A"/>
    <w:rsid w:val="217032BE"/>
    <w:rsid w:val="21703D3E"/>
    <w:rsid w:val="217355DC"/>
    <w:rsid w:val="21785B1D"/>
    <w:rsid w:val="21805734"/>
    <w:rsid w:val="2182638A"/>
    <w:rsid w:val="218617B3"/>
    <w:rsid w:val="219263AA"/>
    <w:rsid w:val="21983295"/>
    <w:rsid w:val="21AD6D40"/>
    <w:rsid w:val="21BF6A73"/>
    <w:rsid w:val="21C66054"/>
    <w:rsid w:val="21D342CD"/>
    <w:rsid w:val="21D35CE9"/>
    <w:rsid w:val="21D40771"/>
    <w:rsid w:val="21D74A07"/>
    <w:rsid w:val="21DE15EF"/>
    <w:rsid w:val="21F20BF7"/>
    <w:rsid w:val="21F726B1"/>
    <w:rsid w:val="21F77FBB"/>
    <w:rsid w:val="2205092A"/>
    <w:rsid w:val="220706D4"/>
    <w:rsid w:val="220D3733"/>
    <w:rsid w:val="22105521"/>
    <w:rsid w:val="221072CF"/>
    <w:rsid w:val="221768AF"/>
    <w:rsid w:val="222B5EB7"/>
    <w:rsid w:val="222F3BF9"/>
    <w:rsid w:val="22340741"/>
    <w:rsid w:val="2234370F"/>
    <w:rsid w:val="223E3E3C"/>
    <w:rsid w:val="22490698"/>
    <w:rsid w:val="2254540E"/>
    <w:rsid w:val="2256475A"/>
    <w:rsid w:val="226371B8"/>
    <w:rsid w:val="2268710B"/>
    <w:rsid w:val="22743D02"/>
    <w:rsid w:val="227C6712"/>
    <w:rsid w:val="228C4BA7"/>
    <w:rsid w:val="228C772F"/>
    <w:rsid w:val="229972C4"/>
    <w:rsid w:val="22A16179"/>
    <w:rsid w:val="22B356E3"/>
    <w:rsid w:val="22C00CF5"/>
    <w:rsid w:val="22C5455D"/>
    <w:rsid w:val="22C72083"/>
    <w:rsid w:val="22C92C42"/>
    <w:rsid w:val="22D24584"/>
    <w:rsid w:val="22D622C7"/>
    <w:rsid w:val="22E26EBD"/>
    <w:rsid w:val="22E36792"/>
    <w:rsid w:val="22E84AA3"/>
    <w:rsid w:val="22EC3898"/>
    <w:rsid w:val="230B7162"/>
    <w:rsid w:val="231B1C88"/>
    <w:rsid w:val="2324565B"/>
    <w:rsid w:val="2331574F"/>
    <w:rsid w:val="23386ADD"/>
    <w:rsid w:val="233A2855"/>
    <w:rsid w:val="233B4088"/>
    <w:rsid w:val="234436D4"/>
    <w:rsid w:val="234F3CD5"/>
    <w:rsid w:val="235002CB"/>
    <w:rsid w:val="2354427B"/>
    <w:rsid w:val="2355143D"/>
    <w:rsid w:val="235B3A87"/>
    <w:rsid w:val="236B5698"/>
    <w:rsid w:val="236E0751"/>
    <w:rsid w:val="23706277"/>
    <w:rsid w:val="23711FEF"/>
    <w:rsid w:val="23716593"/>
    <w:rsid w:val="23720241"/>
    <w:rsid w:val="237A70F6"/>
    <w:rsid w:val="237D63C0"/>
    <w:rsid w:val="239D34C1"/>
    <w:rsid w:val="23A81EB5"/>
    <w:rsid w:val="23B118D4"/>
    <w:rsid w:val="23CA54EC"/>
    <w:rsid w:val="23CD5478"/>
    <w:rsid w:val="23CE11F0"/>
    <w:rsid w:val="23CE2F9E"/>
    <w:rsid w:val="23CE7442"/>
    <w:rsid w:val="23D031BA"/>
    <w:rsid w:val="23E94311"/>
    <w:rsid w:val="23E9617A"/>
    <w:rsid w:val="23EE3640"/>
    <w:rsid w:val="23F21382"/>
    <w:rsid w:val="23F46EA8"/>
    <w:rsid w:val="23F92711"/>
    <w:rsid w:val="23FC71CF"/>
    <w:rsid w:val="240D7F6A"/>
    <w:rsid w:val="24155071"/>
    <w:rsid w:val="24170DE9"/>
    <w:rsid w:val="241C1F5B"/>
    <w:rsid w:val="2432352D"/>
    <w:rsid w:val="243279D1"/>
    <w:rsid w:val="2435301D"/>
    <w:rsid w:val="243A6885"/>
    <w:rsid w:val="243E45C7"/>
    <w:rsid w:val="24677510"/>
    <w:rsid w:val="246851A0"/>
    <w:rsid w:val="247104F9"/>
    <w:rsid w:val="24765685"/>
    <w:rsid w:val="24771887"/>
    <w:rsid w:val="247D50F0"/>
    <w:rsid w:val="2481259A"/>
    <w:rsid w:val="2492046F"/>
    <w:rsid w:val="24961D0D"/>
    <w:rsid w:val="249E6E14"/>
    <w:rsid w:val="24A033D3"/>
    <w:rsid w:val="24A203BA"/>
    <w:rsid w:val="24A51F50"/>
    <w:rsid w:val="24A73F1B"/>
    <w:rsid w:val="24A85EE5"/>
    <w:rsid w:val="24B108F5"/>
    <w:rsid w:val="24B623B0"/>
    <w:rsid w:val="24BA667D"/>
    <w:rsid w:val="24BB5C18"/>
    <w:rsid w:val="24C148B0"/>
    <w:rsid w:val="24C30629"/>
    <w:rsid w:val="24CA7C09"/>
    <w:rsid w:val="24D97E4C"/>
    <w:rsid w:val="24F3120D"/>
    <w:rsid w:val="24F46A34"/>
    <w:rsid w:val="24FB7DC2"/>
    <w:rsid w:val="24FE1675"/>
    <w:rsid w:val="24FE5B05"/>
    <w:rsid w:val="25040928"/>
    <w:rsid w:val="25090731"/>
    <w:rsid w:val="251B2213"/>
    <w:rsid w:val="251D4887"/>
    <w:rsid w:val="25382DC5"/>
    <w:rsid w:val="254259F1"/>
    <w:rsid w:val="25461985"/>
    <w:rsid w:val="25493224"/>
    <w:rsid w:val="254C6870"/>
    <w:rsid w:val="25551BC9"/>
    <w:rsid w:val="255B2F57"/>
    <w:rsid w:val="255B7946"/>
    <w:rsid w:val="255F75A2"/>
    <w:rsid w:val="25602A1C"/>
    <w:rsid w:val="25626093"/>
    <w:rsid w:val="25665B84"/>
    <w:rsid w:val="256D06AE"/>
    <w:rsid w:val="256E4A38"/>
    <w:rsid w:val="257162D7"/>
    <w:rsid w:val="2572277A"/>
    <w:rsid w:val="25754019"/>
    <w:rsid w:val="257A162F"/>
    <w:rsid w:val="258151F7"/>
    <w:rsid w:val="258B7398"/>
    <w:rsid w:val="258C1362"/>
    <w:rsid w:val="259124D5"/>
    <w:rsid w:val="25972AEB"/>
    <w:rsid w:val="25982E74"/>
    <w:rsid w:val="259F4BF2"/>
    <w:rsid w:val="25A42208"/>
    <w:rsid w:val="25AB4FC2"/>
    <w:rsid w:val="25AB7A3A"/>
    <w:rsid w:val="25B05051"/>
    <w:rsid w:val="25B473B0"/>
    <w:rsid w:val="25B577B4"/>
    <w:rsid w:val="25BA0714"/>
    <w:rsid w:val="25C1100C"/>
    <w:rsid w:val="25C1725E"/>
    <w:rsid w:val="25C9596F"/>
    <w:rsid w:val="25CC175F"/>
    <w:rsid w:val="25D845A8"/>
    <w:rsid w:val="25DF1492"/>
    <w:rsid w:val="25EC3BAF"/>
    <w:rsid w:val="25FC0296"/>
    <w:rsid w:val="260333D3"/>
    <w:rsid w:val="260D506B"/>
    <w:rsid w:val="261455E0"/>
    <w:rsid w:val="261F3498"/>
    <w:rsid w:val="26306192"/>
    <w:rsid w:val="26357304"/>
    <w:rsid w:val="26396DF4"/>
    <w:rsid w:val="263C0693"/>
    <w:rsid w:val="26492DAF"/>
    <w:rsid w:val="264A7253"/>
    <w:rsid w:val="265D7FC1"/>
    <w:rsid w:val="265E07A1"/>
    <w:rsid w:val="26633E71"/>
    <w:rsid w:val="2666570F"/>
    <w:rsid w:val="26887D7C"/>
    <w:rsid w:val="26955FF5"/>
    <w:rsid w:val="269A66B7"/>
    <w:rsid w:val="269F683D"/>
    <w:rsid w:val="26A5092E"/>
    <w:rsid w:val="26A60202"/>
    <w:rsid w:val="26A61FB0"/>
    <w:rsid w:val="26B20955"/>
    <w:rsid w:val="26BB1EFF"/>
    <w:rsid w:val="26CA2142"/>
    <w:rsid w:val="26E31456"/>
    <w:rsid w:val="26FD2518"/>
    <w:rsid w:val="27003DB6"/>
    <w:rsid w:val="27005B64"/>
    <w:rsid w:val="27007912"/>
    <w:rsid w:val="270F3FF9"/>
    <w:rsid w:val="27111B1F"/>
    <w:rsid w:val="272A0E33"/>
    <w:rsid w:val="272A498F"/>
    <w:rsid w:val="272F6449"/>
    <w:rsid w:val="272F64B5"/>
    <w:rsid w:val="274051C3"/>
    <w:rsid w:val="27417D2B"/>
    <w:rsid w:val="2742617D"/>
    <w:rsid w:val="2749750B"/>
    <w:rsid w:val="274C2B57"/>
    <w:rsid w:val="275163C0"/>
    <w:rsid w:val="27533EE6"/>
    <w:rsid w:val="275A177D"/>
    <w:rsid w:val="275B2D9A"/>
    <w:rsid w:val="275F6D2E"/>
    <w:rsid w:val="2762237B"/>
    <w:rsid w:val="276460F3"/>
    <w:rsid w:val="27653C19"/>
    <w:rsid w:val="276854B7"/>
    <w:rsid w:val="276C144B"/>
    <w:rsid w:val="276F6846"/>
    <w:rsid w:val="2771468D"/>
    <w:rsid w:val="277D5407"/>
    <w:rsid w:val="277F117F"/>
    <w:rsid w:val="27814EF7"/>
    <w:rsid w:val="278A18D2"/>
    <w:rsid w:val="27934C2A"/>
    <w:rsid w:val="27A209C9"/>
    <w:rsid w:val="27A24E6D"/>
    <w:rsid w:val="27AC5CEC"/>
    <w:rsid w:val="27AC7A9A"/>
    <w:rsid w:val="27B34984"/>
    <w:rsid w:val="27B8643F"/>
    <w:rsid w:val="27CE17BE"/>
    <w:rsid w:val="27CF7680"/>
    <w:rsid w:val="27D668C5"/>
    <w:rsid w:val="27D8088F"/>
    <w:rsid w:val="27DF1C1D"/>
    <w:rsid w:val="27DF5779"/>
    <w:rsid w:val="27E014F2"/>
    <w:rsid w:val="27E15995"/>
    <w:rsid w:val="27E17743"/>
    <w:rsid w:val="27E965F8"/>
    <w:rsid w:val="27EB6814"/>
    <w:rsid w:val="27ED433A"/>
    <w:rsid w:val="27FA6A57"/>
    <w:rsid w:val="28055863"/>
    <w:rsid w:val="280653FC"/>
    <w:rsid w:val="28081174"/>
    <w:rsid w:val="28096C9A"/>
    <w:rsid w:val="280D678A"/>
    <w:rsid w:val="281F64BE"/>
    <w:rsid w:val="28213FE4"/>
    <w:rsid w:val="282B4E63"/>
    <w:rsid w:val="283642C0"/>
    <w:rsid w:val="283C7070"/>
    <w:rsid w:val="28472C02"/>
    <w:rsid w:val="284D6B87"/>
    <w:rsid w:val="28500425"/>
    <w:rsid w:val="28537F15"/>
    <w:rsid w:val="28594428"/>
    <w:rsid w:val="287F390C"/>
    <w:rsid w:val="288F0E6A"/>
    <w:rsid w:val="288F53F1"/>
    <w:rsid w:val="28996395"/>
    <w:rsid w:val="289A78F2"/>
    <w:rsid w:val="289E73E3"/>
    <w:rsid w:val="28AC2F62"/>
    <w:rsid w:val="28AD1D1C"/>
    <w:rsid w:val="28B27007"/>
    <w:rsid w:val="28B40744"/>
    <w:rsid w:val="28B409B4"/>
    <w:rsid w:val="28B81D60"/>
    <w:rsid w:val="28C64B8B"/>
    <w:rsid w:val="28C66939"/>
    <w:rsid w:val="28C72DDD"/>
    <w:rsid w:val="28E079FB"/>
    <w:rsid w:val="28E82D54"/>
    <w:rsid w:val="290A0F1C"/>
    <w:rsid w:val="290D27BA"/>
    <w:rsid w:val="29127DD1"/>
    <w:rsid w:val="291E22D1"/>
    <w:rsid w:val="292024ED"/>
    <w:rsid w:val="292304C4"/>
    <w:rsid w:val="292C0E92"/>
    <w:rsid w:val="292F2731"/>
    <w:rsid w:val="293411C1"/>
    <w:rsid w:val="2944442E"/>
    <w:rsid w:val="295B52D4"/>
    <w:rsid w:val="296A19BB"/>
    <w:rsid w:val="29736AC1"/>
    <w:rsid w:val="297665B1"/>
    <w:rsid w:val="29785E86"/>
    <w:rsid w:val="2984482A"/>
    <w:rsid w:val="29852351"/>
    <w:rsid w:val="299276C7"/>
    <w:rsid w:val="29946A38"/>
    <w:rsid w:val="29995DFC"/>
    <w:rsid w:val="29A24CB1"/>
    <w:rsid w:val="29AC3887"/>
    <w:rsid w:val="29AE7AF9"/>
    <w:rsid w:val="29B36EBE"/>
    <w:rsid w:val="29C157FE"/>
    <w:rsid w:val="29C27101"/>
    <w:rsid w:val="29C76E0D"/>
    <w:rsid w:val="29DC2F7B"/>
    <w:rsid w:val="29DF5F05"/>
    <w:rsid w:val="29E654E5"/>
    <w:rsid w:val="29EF1F0A"/>
    <w:rsid w:val="29FD638B"/>
    <w:rsid w:val="2A043BBD"/>
    <w:rsid w:val="2A094D30"/>
    <w:rsid w:val="2A0E2346"/>
    <w:rsid w:val="2A181417"/>
    <w:rsid w:val="2A263B34"/>
    <w:rsid w:val="2A2E1748"/>
    <w:rsid w:val="2A337FFE"/>
    <w:rsid w:val="2A3A313B"/>
    <w:rsid w:val="2A3A3996"/>
    <w:rsid w:val="2A3A75DF"/>
    <w:rsid w:val="2A475858"/>
    <w:rsid w:val="2A581813"/>
    <w:rsid w:val="2A5A558B"/>
    <w:rsid w:val="2A5F2BA2"/>
    <w:rsid w:val="2A612D69"/>
    <w:rsid w:val="2A612DBE"/>
    <w:rsid w:val="2A622692"/>
    <w:rsid w:val="2A6C52BE"/>
    <w:rsid w:val="2A701253"/>
    <w:rsid w:val="2A703001"/>
    <w:rsid w:val="2A7E571E"/>
    <w:rsid w:val="2A8F16D0"/>
    <w:rsid w:val="2A9817E1"/>
    <w:rsid w:val="2AA151EC"/>
    <w:rsid w:val="2AA607D0"/>
    <w:rsid w:val="2AAA4765"/>
    <w:rsid w:val="2ABF60CD"/>
    <w:rsid w:val="2AC1385C"/>
    <w:rsid w:val="2AC6485F"/>
    <w:rsid w:val="2ACD3FAF"/>
    <w:rsid w:val="2ACE1AD5"/>
    <w:rsid w:val="2AD06DF5"/>
    <w:rsid w:val="2AD1141D"/>
    <w:rsid w:val="2AD46197"/>
    <w:rsid w:val="2AD57308"/>
    <w:rsid w:val="2AE01F34"/>
    <w:rsid w:val="2AE412F9"/>
    <w:rsid w:val="2AE93CA5"/>
    <w:rsid w:val="2AEF03C9"/>
    <w:rsid w:val="2AF05EF0"/>
    <w:rsid w:val="2AF07C9E"/>
    <w:rsid w:val="2AF11F5C"/>
    <w:rsid w:val="2AF7727E"/>
    <w:rsid w:val="2AF92FF6"/>
    <w:rsid w:val="2B0100FD"/>
    <w:rsid w:val="2B0F6376"/>
    <w:rsid w:val="2B157704"/>
    <w:rsid w:val="2B2362C5"/>
    <w:rsid w:val="2B253DEB"/>
    <w:rsid w:val="2B2A1401"/>
    <w:rsid w:val="2B2D0EF2"/>
    <w:rsid w:val="2B361B54"/>
    <w:rsid w:val="2B373B1E"/>
    <w:rsid w:val="2B397896"/>
    <w:rsid w:val="2B3B716B"/>
    <w:rsid w:val="2B4F0E68"/>
    <w:rsid w:val="2B6761B2"/>
    <w:rsid w:val="2B69017C"/>
    <w:rsid w:val="2B6C1A1A"/>
    <w:rsid w:val="2B701A5D"/>
    <w:rsid w:val="2B764647"/>
    <w:rsid w:val="2B7663F5"/>
    <w:rsid w:val="2B77111E"/>
    <w:rsid w:val="2B85488A"/>
    <w:rsid w:val="2B864290"/>
    <w:rsid w:val="2B9D7E25"/>
    <w:rsid w:val="2BA60E82"/>
    <w:rsid w:val="2BAC05CC"/>
    <w:rsid w:val="2BB1742D"/>
    <w:rsid w:val="2BC1373E"/>
    <w:rsid w:val="2BCC070B"/>
    <w:rsid w:val="2BCF3D57"/>
    <w:rsid w:val="2BE538F2"/>
    <w:rsid w:val="2BEE0681"/>
    <w:rsid w:val="2BF10171"/>
    <w:rsid w:val="2BF13CCD"/>
    <w:rsid w:val="2BF65788"/>
    <w:rsid w:val="2BF82ABE"/>
    <w:rsid w:val="2BFA0DD4"/>
    <w:rsid w:val="2BFA5278"/>
    <w:rsid w:val="2BFA7026"/>
    <w:rsid w:val="2BFF0190"/>
    <w:rsid w:val="2C02412C"/>
    <w:rsid w:val="2C0D67F0"/>
    <w:rsid w:val="2C11611D"/>
    <w:rsid w:val="2C1C6592"/>
    <w:rsid w:val="2C2603E8"/>
    <w:rsid w:val="2C263956"/>
    <w:rsid w:val="2C2B3683"/>
    <w:rsid w:val="2C324A12"/>
    <w:rsid w:val="2C332538"/>
    <w:rsid w:val="2C353128"/>
    <w:rsid w:val="2C3A1B18"/>
    <w:rsid w:val="2C3B319A"/>
    <w:rsid w:val="2C3F2C8B"/>
    <w:rsid w:val="2C414C55"/>
    <w:rsid w:val="2C424529"/>
    <w:rsid w:val="2C4A0180"/>
    <w:rsid w:val="2C4B7881"/>
    <w:rsid w:val="2C4E2ECE"/>
    <w:rsid w:val="2C504E98"/>
    <w:rsid w:val="2C5129BE"/>
    <w:rsid w:val="2C520C10"/>
    <w:rsid w:val="2C5B41E0"/>
    <w:rsid w:val="2C5E2E82"/>
    <w:rsid w:val="2C697D08"/>
    <w:rsid w:val="2C7D37B3"/>
    <w:rsid w:val="2C7E7C57"/>
    <w:rsid w:val="2C8114F5"/>
    <w:rsid w:val="2C840FE5"/>
    <w:rsid w:val="2C994A91"/>
    <w:rsid w:val="2CA501B3"/>
    <w:rsid w:val="2CA84CD4"/>
    <w:rsid w:val="2CB573F1"/>
    <w:rsid w:val="2CC118F2"/>
    <w:rsid w:val="2CC764F5"/>
    <w:rsid w:val="2CC86258"/>
    <w:rsid w:val="2CC87124"/>
    <w:rsid w:val="2CC94C4A"/>
    <w:rsid w:val="2CCE400E"/>
    <w:rsid w:val="2CD930DF"/>
    <w:rsid w:val="2CDC672B"/>
    <w:rsid w:val="2CDE6947"/>
    <w:rsid w:val="2CE675AA"/>
    <w:rsid w:val="2CF0667B"/>
    <w:rsid w:val="2CF47F19"/>
    <w:rsid w:val="2CF972DD"/>
    <w:rsid w:val="2CFE66A2"/>
    <w:rsid w:val="2D0839C4"/>
    <w:rsid w:val="2D0F4D53"/>
    <w:rsid w:val="2D19172E"/>
    <w:rsid w:val="2D2307FE"/>
    <w:rsid w:val="2D2B320F"/>
    <w:rsid w:val="2D2F71A3"/>
    <w:rsid w:val="2D314CC9"/>
    <w:rsid w:val="2D3227EF"/>
    <w:rsid w:val="2D3A16A4"/>
    <w:rsid w:val="2D3B5B48"/>
    <w:rsid w:val="2D3C71CA"/>
    <w:rsid w:val="2D4A5D8B"/>
    <w:rsid w:val="2D5269EE"/>
    <w:rsid w:val="2D5409B8"/>
    <w:rsid w:val="2D55028C"/>
    <w:rsid w:val="2D6706EB"/>
    <w:rsid w:val="2D6C3F53"/>
    <w:rsid w:val="2D703D82"/>
    <w:rsid w:val="2D7746A6"/>
    <w:rsid w:val="2D796670"/>
    <w:rsid w:val="2D8163F5"/>
    <w:rsid w:val="2D856DC3"/>
    <w:rsid w:val="2D8A262B"/>
    <w:rsid w:val="2D917516"/>
    <w:rsid w:val="2D99286E"/>
    <w:rsid w:val="2D9C5EBB"/>
    <w:rsid w:val="2DA51213"/>
    <w:rsid w:val="2DA73216"/>
    <w:rsid w:val="2DA76D39"/>
    <w:rsid w:val="2DB96A6D"/>
    <w:rsid w:val="2DBD1F23"/>
    <w:rsid w:val="2DC21DC5"/>
    <w:rsid w:val="2DDA60A5"/>
    <w:rsid w:val="2DDC191A"/>
    <w:rsid w:val="2DEE4968"/>
    <w:rsid w:val="2DF45CF7"/>
    <w:rsid w:val="2E00469C"/>
    <w:rsid w:val="2E020414"/>
    <w:rsid w:val="2E0B376C"/>
    <w:rsid w:val="2E150147"/>
    <w:rsid w:val="2E1A39AF"/>
    <w:rsid w:val="2E260302"/>
    <w:rsid w:val="2E260F28"/>
    <w:rsid w:val="2E2C723F"/>
    <w:rsid w:val="2E2D79C3"/>
    <w:rsid w:val="2E304F81"/>
    <w:rsid w:val="2E4722CA"/>
    <w:rsid w:val="2E4A5917"/>
    <w:rsid w:val="2E616AFA"/>
    <w:rsid w:val="2E620EB2"/>
    <w:rsid w:val="2E666BF4"/>
    <w:rsid w:val="2E6A7D67"/>
    <w:rsid w:val="2E6E3CFB"/>
    <w:rsid w:val="2E7330BF"/>
    <w:rsid w:val="2E7A444E"/>
    <w:rsid w:val="2E8452CD"/>
    <w:rsid w:val="2E89643F"/>
    <w:rsid w:val="2E9372BE"/>
    <w:rsid w:val="2EA63495"/>
    <w:rsid w:val="2EA80FBB"/>
    <w:rsid w:val="2EB060C2"/>
    <w:rsid w:val="2EB2492A"/>
    <w:rsid w:val="2EB45BB2"/>
    <w:rsid w:val="2EC21951"/>
    <w:rsid w:val="2ED27DE6"/>
    <w:rsid w:val="2EDC5C10"/>
    <w:rsid w:val="2EE10029"/>
    <w:rsid w:val="2EE1627B"/>
    <w:rsid w:val="2EE8585B"/>
    <w:rsid w:val="2EED2E72"/>
    <w:rsid w:val="2EF02962"/>
    <w:rsid w:val="2EF44200"/>
    <w:rsid w:val="2EF7784D"/>
    <w:rsid w:val="2EF97A69"/>
    <w:rsid w:val="2EFE0BDB"/>
    <w:rsid w:val="2F075774"/>
    <w:rsid w:val="2F0B154A"/>
    <w:rsid w:val="2F0B32F8"/>
    <w:rsid w:val="2F0B6869"/>
    <w:rsid w:val="2F0D0E1E"/>
    <w:rsid w:val="2F106B60"/>
    <w:rsid w:val="2F1321AD"/>
    <w:rsid w:val="2F193C67"/>
    <w:rsid w:val="2F1C57EC"/>
    <w:rsid w:val="2F25085E"/>
    <w:rsid w:val="2F3A17F5"/>
    <w:rsid w:val="2F464F97"/>
    <w:rsid w:val="2F4F1437"/>
    <w:rsid w:val="2F5808BC"/>
    <w:rsid w:val="2F6A44C2"/>
    <w:rsid w:val="2F722626"/>
    <w:rsid w:val="2F754C15"/>
    <w:rsid w:val="2F776BDF"/>
    <w:rsid w:val="2F911A4F"/>
    <w:rsid w:val="2F996B56"/>
    <w:rsid w:val="2FAD43AF"/>
    <w:rsid w:val="2FBB4D1E"/>
    <w:rsid w:val="2FBD0A96"/>
    <w:rsid w:val="2FBE036A"/>
    <w:rsid w:val="2FC55B9D"/>
    <w:rsid w:val="2FEA6851"/>
    <w:rsid w:val="2FFA3A98"/>
    <w:rsid w:val="3005243D"/>
    <w:rsid w:val="30114309"/>
    <w:rsid w:val="301461DC"/>
    <w:rsid w:val="30170AEF"/>
    <w:rsid w:val="30221FB4"/>
    <w:rsid w:val="30240B15"/>
    <w:rsid w:val="303348B4"/>
    <w:rsid w:val="30405223"/>
    <w:rsid w:val="304940D8"/>
    <w:rsid w:val="304E16EE"/>
    <w:rsid w:val="305D5DD5"/>
    <w:rsid w:val="307153DD"/>
    <w:rsid w:val="307373A7"/>
    <w:rsid w:val="30760C45"/>
    <w:rsid w:val="30782C0F"/>
    <w:rsid w:val="307C3C59"/>
    <w:rsid w:val="30803872"/>
    <w:rsid w:val="30880846"/>
    <w:rsid w:val="308C66BA"/>
    <w:rsid w:val="30B51714"/>
    <w:rsid w:val="30BB4405"/>
    <w:rsid w:val="30BF083E"/>
    <w:rsid w:val="30C10112"/>
    <w:rsid w:val="30C314E8"/>
    <w:rsid w:val="30C776F3"/>
    <w:rsid w:val="30CB71E3"/>
    <w:rsid w:val="30DE29C7"/>
    <w:rsid w:val="30EE1123"/>
    <w:rsid w:val="30F009F7"/>
    <w:rsid w:val="30F027A5"/>
    <w:rsid w:val="30F2476F"/>
    <w:rsid w:val="30F57DBC"/>
    <w:rsid w:val="30F77FD8"/>
    <w:rsid w:val="30FE3169"/>
    <w:rsid w:val="3115045E"/>
    <w:rsid w:val="312608BD"/>
    <w:rsid w:val="3126266B"/>
    <w:rsid w:val="31271F3F"/>
    <w:rsid w:val="312A0833"/>
    <w:rsid w:val="312F7772"/>
    <w:rsid w:val="316737CE"/>
    <w:rsid w:val="3172765E"/>
    <w:rsid w:val="31761066"/>
    <w:rsid w:val="319475D5"/>
    <w:rsid w:val="31975317"/>
    <w:rsid w:val="319C46DB"/>
    <w:rsid w:val="31A16195"/>
    <w:rsid w:val="31A31F0E"/>
    <w:rsid w:val="31A33CBC"/>
    <w:rsid w:val="31AB0D26"/>
    <w:rsid w:val="31B1462B"/>
    <w:rsid w:val="31BB2DB3"/>
    <w:rsid w:val="31C3610C"/>
    <w:rsid w:val="31CC4FC0"/>
    <w:rsid w:val="31E83DC4"/>
    <w:rsid w:val="31EC7411"/>
    <w:rsid w:val="31F2254D"/>
    <w:rsid w:val="31F32290"/>
    <w:rsid w:val="31F462C5"/>
    <w:rsid w:val="31FE0EF2"/>
    <w:rsid w:val="320432A0"/>
    <w:rsid w:val="320A5AE9"/>
    <w:rsid w:val="320D55D9"/>
    <w:rsid w:val="32130E41"/>
    <w:rsid w:val="32146967"/>
    <w:rsid w:val="32195D2C"/>
    <w:rsid w:val="321B2C09"/>
    <w:rsid w:val="321C75CA"/>
    <w:rsid w:val="321E3342"/>
    <w:rsid w:val="3220530C"/>
    <w:rsid w:val="32285F6F"/>
    <w:rsid w:val="322D17D7"/>
    <w:rsid w:val="322F37A1"/>
    <w:rsid w:val="32340DB8"/>
    <w:rsid w:val="32342B66"/>
    <w:rsid w:val="32567085"/>
    <w:rsid w:val="325A081E"/>
    <w:rsid w:val="325B016D"/>
    <w:rsid w:val="326351F9"/>
    <w:rsid w:val="32672F3B"/>
    <w:rsid w:val="32690A61"/>
    <w:rsid w:val="32696CB3"/>
    <w:rsid w:val="326C082A"/>
    <w:rsid w:val="326C2300"/>
    <w:rsid w:val="32755658"/>
    <w:rsid w:val="327F64D7"/>
    <w:rsid w:val="32827D75"/>
    <w:rsid w:val="32851613"/>
    <w:rsid w:val="328A54F4"/>
    <w:rsid w:val="32911D66"/>
    <w:rsid w:val="32963C3F"/>
    <w:rsid w:val="329B4993"/>
    <w:rsid w:val="329C0EA6"/>
    <w:rsid w:val="329F0927"/>
    <w:rsid w:val="32B85545"/>
    <w:rsid w:val="32BD2B5B"/>
    <w:rsid w:val="32C71C2C"/>
    <w:rsid w:val="32C75788"/>
    <w:rsid w:val="32D14858"/>
    <w:rsid w:val="32D85BE7"/>
    <w:rsid w:val="32DC0EB2"/>
    <w:rsid w:val="32E0684A"/>
    <w:rsid w:val="32EA0830"/>
    <w:rsid w:val="32EE0641"/>
    <w:rsid w:val="32EE1220"/>
    <w:rsid w:val="32FD73FC"/>
    <w:rsid w:val="33016EEC"/>
    <w:rsid w:val="33030EB6"/>
    <w:rsid w:val="3310712F"/>
    <w:rsid w:val="33165593"/>
    <w:rsid w:val="33264BA4"/>
    <w:rsid w:val="332B05A9"/>
    <w:rsid w:val="332D7CE1"/>
    <w:rsid w:val="3334223A"/>
    <w:rsid w:val="33380434"/>
    <w:rsid w:val="335B79FD"/>
    <w:rsid w:val="335C05C6"/>
    <w:rsid w:val="33694A91"/>
    <w:rsid w:val="336F02F9"/>
    <w:rsid w:val="33775400"/>
    <w:rsid w:val="337949B2"/>
    <w:rsid w:val="33941B0E"/>
    <w:rsid w:val="339B20AB"/>
    <w:rsid w:val="339C09C3"/>
    <w:rsid w:val="33A1422B"/>
    <w:rsid w:val="33A930DF"/>
    <w:rsid w:val="33BC1065"/>
    <w:rsid w:val="33C00B55"/>
    <w:rsid w:val="33C85C5B"/>
    <w:rsid w:val="33CB74FA"/>
    <w:rsid w:val="33CD6DCE"/>
    <w:rsid w:val="33CF6A37"/>
    <w:rsid w:val="33D02303"/>
    <w:rsid w:val="33E10ACB"/>
    <w:rsid w:val="33E277DE"/>
    <w:rsid w:val="33EB36F8"/>
    <w:rsid w:val="33F00D0E"/>
    <w:rsid w:val="33F24A86"/>
    <w:rsid w:val="33F425AD"/>
    <w:rsid w:val="33F86541"/>
    <w:rsid w:val="34010A92"/>
    <w:rsid w:val="340328EA"/>
    <w:rsid w:val="340842AA"/>
    <w:rsid w:val="34160775"/>
    <w:rsid w:val="341D52B8"/>
    <w:rsid w:val="34221EB4"/>
    <w:rsid w:val="342C61EA"/>
    <w:rsid w:val="3430452C"/>
    <w:rsid w:val="34390907"/>
    <w:rsid w:val="344572AC"/>
    <w:rsid w:val="34476B80"/>
    <w:rsid w:val="34525525"/>
    <w:rsid w:val="34557417"/>
    <w:rsid w:val="34580D8D"/>
    <w:rsid w:val="345B087E"/>
    <w:rsid w:val="345C3481"/>
    <w:rsid w:val="345D2848"/>
    <w:rsid w:val="34711E4F"/>
    <w:rsid w:val="34730A3E"/>
    <w:rsid w:val="34767465"/>
    <w:rsid w:val="34873421"/>
    <w:rsid w:val="348778C5"/>
    <w:rsid w:val="349124F1"/>
    <w:rsid w:val="3491604D"/>
    <w:rsid w:val="34936269"/>
    <w:rsid w:val="34982E11"/>
    <w:rsid w:val="349D49F2"/>
    <w:rsid w:val="349E076A"/>
    <w:rsid w:val="34A73AC3"/>
    <w:rsid w:val="34B1049E"/>
    <w:rsid w:val="34BB756E"/>
    <w:rsid w:val="34BF0EAE"/>
    <w:rsid w:val="34C603ED"/>
    <w:rsid w:val="34CC3529"/>
    <w:rsid w:val="34CE54F3"/>
    <w:rsid w:val="34D12942"/>
    <w:rsid w:val="34D507EF"/>
    <w:rsid w:val="34DA5C46"/>
    <w:rsid w:val="34DB19BE"/>
    <w:rsid w:val="34DF500B"/>
    <w:rsid w:val="34E844B6"/>
    <w:rsid w:val="34F12F90"/>
    <w:rsid w:val="350356A9"/>
    <w:rsid w:val="350D601C"/>
    <w:rsid w:val="35105238"/>
    <w:rsid w:val="3519487E"/>
    <w:rsid w:val="35197CD1"/>
    <w:rsid w:val="352B0250"/>
    <w:rsid w:val="352C3FC8"/>
    <w:rsid w:val="352E1AEE"/>
    <w:rsid w:val="35301D0A"/>
    <w:rsid w:val="35357321"/>
    <w:rsid w:val="355C48AD"/>
    <w:rsid w:val="356758CA"/>
    <w:rsid w:val="35683252"/>
    <w:rsid w:val="356E638F"/>
    <w:rsid w:val="35703C15"/>
    <w:rsid w:val="35727C2D"/>
    <w:rsid w:val="35777939"/>
    <w:rsid w:val="357D65D2"/>
    <w:rsid w:val="357E0CC8"/>
    <w:rsid w:val="358D2CB9"/>
    <w:rsid w:val="359202CF"/>
    <w:rsid w:val="359B1B59"/>
    <w:rsid w:val="35A53D64"/>
    <w:rsid w:val="35AA386B"/>
    <w:rsid w:val="35B50461"/>
    <w:rsid w:val="35B75F88"/>
    <w:rsid w:val="35C42453"/>
    <w:rsid w:val="35C67F79"/>
    <w:rsid w:val="35C961D4"/>
    <w:rsid w:val="35CD1307"/>
    <w:rsid w:val="35CF32D1"/>
    <w:rsid w:val="35D07049"/>
    <w:rsid w:val="35DA7A2A"/>
    <w:rsid w:val="35DF103A"/>
    <w:rsid w:val="35E52AF5"/>
    <w:rsid w:val="35E65784"/>
    <w:rsid w:val="35F42D38"/>
    <w:rsid w:val="36010FB1"/>
    <w:rsid w:val="36017203"/>
    <w:rsid w:val="360A255B"/>
    <w:rsid w:val="361C5DEB"/>
    <w:rsid w:val="362F1FC2"/>
    <w:rsid w:val="363E3FB3"/>
    <w:rsid w:val="36483084"/>
    <w:rsid w:val="364A6DFC"/>
    <w:rsid w:val="36525CB0"/>
    <w:rsid w:val="365732C7"/>
    <w:rsid w:val="366854D4"/>
    <w:rsid w:val="36723C5D"/>
    <w:rsid w:val="36843CB8"/>
    <w:rsid w:val="368816D2"/>
    <w:rsid w:val="368A544A"/>
    <w:rsid w:val="368D0A96"/>
    <w:rsid w:val="36910587"/>
    <w:rsid w:val="369938DF"/>
    <w:rsid w:val="36B349A1"/>
    <w:rsid w:val="36B42964"/>
    <w:rsid w:val="36B97ADD"/>
    <w:rsid w:val="36BA5D2F"/>
    <w:rsid w:val="36C46C8D"/>
    <w:rsid w:val="36CB384E"/>
    <w:rsid w:val="36D14E27"/>
    <w:rsid w:val="36D30B9F"/>
    <w:rsid w:val="36D87F64"/>
    <w:rsid w:val="36DD557A"/>
    <w:rsid w:val="36E0150E"/>
    <w:rsid w:val="36E032BC"/>
    <w:rsid w:val="36EC7EB3"/>
    <w:rsid w:val="36EE59D9"/>
    <w:rsid w:val="36F17277"/>
    <w:rsid w:val="36FB00F6"/>
    <w:rsid w:val="36FF1724"/>
    <w:rsid w:val="36FF2592"/>
    <w:rsid w:val="370A20E7"/>
    <w:rsid w:val="3713328D"/>
    <w:rsid w:val="37144D14"/>
    <w:rsid w:val="371C0798"/>
    <w:rsid w:val="371D1E1A"/>
    <w:rsid w:val="37240289"/>
    <w:rsid w:val="37307DA0"/>
    <w:rsid w:val="37411658"/>
    <w:rsid w:val="374E6478"/>
    <w:rsid w:val="37585548"/>
    <w:rsid w:val="376637C1"/>
    <w:rsid w:val="376B702A"/>
    <w:rsid w:val="37781747"/>
    <w:rsid w:val="37781A80"/>
    <w:rsid w:val="377A101B"/>
    <w:rsid w:val="377A54BF"/>
    <w:rsid w:val="37826121"/>
    <w:rsid w:val="378E4AC6"/>
    <w:rsid w:val="3790083E"/>
    <w:rsid w:val="37920A5A"/>
    <w:rsid w:val="37AB5678"/>
    <w:rsid w:val="37AD13F0"/>
    <w:rsid w:val="37B136F2"/>
    <w:rsid w:val="37B530D9"/>
    <w:rsid w:val="37B7226F"/>
    <w:rsid w:val="37B87D95"/>
    <w:rsid w:val="37BD09EA"/>
    <w:rsid w:val="37C404E8"/>
    <w:rsid w:val="37CB7AC8"/>
    <w:rsid w:val="37CC1165"/>
    <w:rsid w:val="37CD1A92"/>
    <w:rsid w:val="37D22C05"/>
    <w:rsid w:val="37DE5A4E"/>
    <w:rsid w:val="37E00DED"/>
    <w:rsid w:val="37ED3EE3"/>
    <w:rsid w:val="37F54B45"/>
    <w:rsid w:val="37F74639"/>
    <w:rsid w:val="381274A5"/>
    <w:rsid w:val="3814321D"/>
    <w:rsid w:val="381C20D2"/>
    <w:rsid w:val="3825367C"/>
    <w:rsid w:val="382D0783"/>
    <w:rsid w:val="38390ED6"/>
    <w:rsid w:val="383E029A"/>
    <w:rsid w:val="384004B6"/>
    <w:rsid w:val="384229DF"/>
    <w:rsid w:val="384A30E3"/>
    <w:rsid w:val="384B0C09"/>
    <w:rsid w:val="384C6E5B"/>
    <w:rsid w:val="38514471"/>
    <w:rsid w:val="385E0D86"/>
    <w:rsid w:val="386F48F8"/>
    <w:rsid w:val="387168C2"/>
    <w:rsid w:val="387E4B3B"/>
    <w:rsid w:val="388008B3"/>
    <w:rsid w:val="388037F2"/>
    <w:rsid w:val="388C7258"/>
    <w:rsid w:val="388F4F9A"/>
    <w:rsid w:val="3891486E"/>
    <w:rsid w:val="38961E84"/>
    <w:rsid w:val="389A3096"/>
    <w:rsid w:val="389D76B7"/>
    <w:rsid w:val="38A10829"/>
    <w:rsid w:val="38AA5930"/>
    <w:rsid w:val="38B64657"/>
    <w:rsid w:val="38B87087"/>
    <w:rsid w:val="38C3300C"/>
    <w:rsid w:val="38C509BB"/>
    <w:rsid w:val="38C52449"/>
    <w:rsid w:val="38C904AC"/>
    <w:rsid w:val="38DD12D8"/>
    <w:rsid w:val="38DD7AB3"/>
    <w:rsid w:val="38E33D96"/>
    <w:rsid w:val="38EC5F48"/>
    <w:rsid w:val="38EF6DE0"/>
    <w:rsid w:val="38F82B3F"/>
    <w:rsid w:val="390019F4"/>
    <w:rsid w:val="39072D82"/>
    <w:rsid w:val="390E4110"/>
    <w:rsid w:val="39133DB1"/>
    <w:rsid w:val="392C27E9"/>
    <w:rsid w:val="392C4597"/>
    <w:rsid w:val="3949339B"/>
    <w:rsid w:val="394A2C6F"/>
    <w:rsid w:val="3958538C"/>
    <w:rsid w:val="395A746B"/>
    <w:rsid w:val="395C1320"/>
    <w:rsid w:val="395F2BBE"/>
    <w:rsid w:val="39627FB8"/>
    <w:rsid w:val="39751E04"/>
    <w:rsid w:val="39904B26"/>
    <w:rsid w:val="3996102B"/>
    <w:rsid w:val="399A3BF6"/>
    <w:rsid w:val="399D7242"/>
    <w:rsid w:val="39A6259B"/>
    <w:rsid w:val="39B90AB4"/>
    <w:rsid w:val="39BC3B6C"/>
    <w:rsid w:val="39BE5B37"/>
    <w:rsid w:val="39C944DB"/>
    <w:rsid w:val="39CB3DB0"/>
    <w:rsid w:val="39D24B04"/>
    <w:rsid w:val="39DF5AAD"/>
    <w:rsid w:val="39EE6050"/>
    <w:rsid w:val="3A0177D1"/>
    <w:rsid w:val="3A03179B"/>
    <w:rsid w:val="3A1E289D"/>
    <w:rsid w:val="3A203C75"/>
    <w:rsid w:val="3A2A31CC"/>
    <w:rsid w:val="3A30455A"/>
    <w:rsid w:val="3A3A2CE3"/>
    <w:rsid w:val="3A451DB4"/>
    <w:rsid w:val="3A465B2C"/>
    <w:rsid w:val="3A557B1D"/>
    <w:rsid w:val="3A5E69D2"/>
    <w:rsid w:val="3A667F7C"/>
    <w:rsid w:val="3A6A5EC4"/>
    <w:rsid w:val="3A6B7341"/>
    <w:rsid w:val="3A6F6E31"/>
    <w:rsid w:val="3A712BA9"/>
    <w:rsid w:val="3A7B57D6"/>
    <w:rsid w:val="3A7E7074"/>
    <w:rsid w:val="3A804B9A"/>
    <w:rsid w:val="3A8F1281"/>
    <w:rsid w:val="3A952038"/>
    <w:rsid w:val="3A976388"/>
    <w:rsid w:val="3A992100"/>
    <w:rsid w:val="3A9A56F7"/>
    <w:rsid w:val="3AA0523C"/>
    <w:rsid w:val="3AA17A83"/>
    <w:rsid w:val="3AA54601"/>
    <w:rsid w:val="3AB50103"/>
    <w:rsid w:val="3ABD5DEE"/>
    <w:rsid w:val="3AD62A0C"/>
    <w:rsid w:val="3AD66EB0"/>
    <w:rsid w:val="3AD85721"/>
    <w:rsid w:val="3AE67F96"/>
    <w:rsid w:val="3AE96BE3"/>
    <w:rsid w:val="3AEC0481"/>
    <w:rsid w:val="3AEF7F72"/>
    <w:rsid w:val="3AF13CEA"/>
    <w:rsid w:val="3AF37A62"/>
    <w:rsid w:val="3AF66579"/>
    <w:rsid w:val="3AF70BD4"/>
    <w:rsid w:val="3AF85CE4"/>
    <w:rsid w:val="3B091033"/>
    <w:rsid w:val="3B09758E"/>
    <w:rsid w:val="3B0E177A"/>
    <w:rsid w:val="3B133C60"/>
    <w:rsid w:val="3B183F35"/>
    <w:rsid w:val="3B1B06F7"/>
    <w:rsid w:val="3B201ED9"/>
    <w:rsid w:val="3B286FE0"/>
    <w:rsid w:val="3B2C087E"/>
    <w:rsid w:val="3B2D45F6"/>
    <w:rsid w:val="3B3D0CDD"/>
    <w:rsid w:val="3B455DE4"/>
    <w:rsid w:val="3B4C2CCE"/>
    <w:rsid w:val="3B516536"/>
    <w:rsid w:val="3B6B584A"/>
    <w:rsid w:val="3B7C6AC3"/>
    <w:rsid w:val="3B824942"/>
    <w:rsid w:val="3B871F58"/>
    <w:rsid w:val="3BA1126C"/>
    <w:rsid w:val="3BA40D5C"/>
    <w:rsid w:val="3BB06C6B"/>
    <w:rsid w:val="3BB84B23"/>
    <w:rsid w:val="3BC136BC"/>
    <w:rsid w:val="3BC9416E"/>
    <w:rsid w:val="3BC949FA"/>
    <w:rsid w:val="3BD318C3"/>
    <w:rsid w:val="3BD80A06"/>
    <w:rsid w:val="3BD86C58"/>
    <w:rsid w:val="3BE15B0C"/>
    <w:rsid w:val="3BEB24E7"/>
    <w:rsid w:val="3BF21AC7"/>
    <w:rsid w:val="3BF84C04"/>
    <w:rsid w:val="3C047A4D"/>
    <w:rsid w:val="3C055B17"/>
    <w:rsid w:val="3C090BBF"/>
    <w:rsid w:val="3C1063F2"/>
    <w:rsid w:val="3C125CC6"/>
    <w:rsid w:val="3C145EE2"/>
    <w:rsid w:val="3C1A2DCC"/>
    <w:rsid w:val="3C236125"/>
    <w:rsid w:val="3C237ED3"/>
    <w:rsid w:val="3C2A0F73"/>
    <w:rsid w:val="3C326368"/>
    <w:rsid w:val="3C395948"/>
    <w:rsid w:val="3C4816E7"/>
    <w:rsid w:val="3C544530"/>
    <w:rsid w:val="3C574020"/>
    <w:rsid w:val="3C591B47"/>
    <w:rsid w:val="3C5A141B"/>
    <w:rsid w:val="3C664263"/>
    <w:rsid w:val="3C7324DC"/>
    <w:rsid w:val="3C77021F"/>
    <w:rsid w:val="3C805325"/>
    <w:rsid w:val="3C80719C"/>
    <w:rsid w:val="3C862210"/>
    <w:rsid w:val="3C8841DA"/>
    <w:rsid w:val="3C885F88"/>
    <w:rsid w:val="3C8D17F0"/>
    <w:rsid w:val="3C8D359E"/>
    <w:rsid w:val="3C925059"/>
    <w:rsid w:val="3C972852"/>
    <w:rsid w:val="3CAA4150"/>
    <w:rsid w:val="3CAA75B3"/>
    <w:rsid w:val="3CAB7EC8"/>
    <w:rsid w:val="3CAF36AA"/>
    <w:rsid w:val="3CB054DF"/>
    <w:rsid w:val="3CB90837"/>
    <w:rsid w:val="3CBB45AF"/>
    <w:rsid w:val="3CC316B6"/>
    <w:rsid w:val="3CC43FCC"/>
    <w:rsid w:val="3CCD3BAA"/>
    <w:rsid w:val="3CD411CD"/>
    <w:rsid w:val="3CD64F45"/>
    <w:rsid w:val="3CDE3DFA"/>
    <w:rsid w:val="3CE04016"/>
    <w:rsid w:val="3CF540ED"/>
    <w:rsid w:val="3CFE26EE"/>
    <w:rsid w:val="3D015D3A"/>
    <w:rsid w:val="3D05582A"/>
    <w:rsid w:val="3D08531B"/>
    <w:rsid w:val="3D0A4664"/>
    <w:rsid w:val="3D1912D6"/>
    <w:rsid w:val="3D1D2B74"/>
    <w:rsid w:val="3D202664"/>
    <w:rsid w:val="3D22462E"/>
    <w:rsid w:val="3D2263DC"/>
    <w:rsid w:val="3D3A1978"/>
    <w:rsid w:val="3D434194"/>
    <w:rsid w:val="3D483969"/>
    <w:rsid w:val="3D5642D8"/>
    <w:rsid w:val="3D583BAC"/>
    <w:rsid w:val="3D5D7415"/>
    <w:rsid w:val="3D672041"/>
    <w:rsid w:val="3D714C6E"/>
    <w:rsid w:val="3D7B3D3F"/>
    <w:rsid w:val="3D8250CD"/>
    <w:rsid w:val="3D874491"/>
    <w:rsid w:val="3D89645B"/>
    <w:rsid w:val="3D9971C5"/>
    <w:rsid w:val="3D9C1533"/>
    <w:rsid w:val="3D9F7A2D"/>
    <w:rsid w:val="3DA145F0"/>
    <w:rsid w:val="3DAC3EF8"/>
    <w:rsid w:val="3DB42DAD"/>
    <w:rsid w:val="3DB5433D"/>
    <w:rsid w:val="3DC41242"/>
    <w:rsid w:val="3DD1395F"/>
    <w:rsid w:val="3DE10046"/>
    <w:rsid w:val="3DE6740A"/>
    <w:rsid w:val="3DF633C5"/>
    <w:rsid w:val="3DF66D78"/>
    <w:rsid w:val="3E047890"/>
    <w:rsid w:val="3E067AAC"/>
    <w:rsid w:val="3E0D0E3B"/>
    <w:rsid w:val="3E241DF6"/>
    <w:rsid w:val="3E3068D7"/>
    <w:rsid w:val="3E43485C"/>
    <w:rsid w:val="3E4923C6"/>
    <w:rsid w:val="3E4B3711"/>
    <w:rsid w:val="3E4C2D1F"/>
    <w:rsid w:val="3E500D27"/>
    <w:rsid w:val="3E570308"/>
    <w:rsid w:val="3E5A7DF8"/>
    <w:rsid w:val="3E5E3444"/>
    <w:rsid w:val="3E5F71BC"/>
    <w:rsid w:val="3E612F34"/>
    <w:rsid w:val="3E6F38A3"/>
    <w:rsid w:val="3E720C9E"/>
    <w:rsid w:val="3E722453"/>
    <w:rsid w:val="3E7569E0"/>
    <w:rsid w:val="3E7933F4"/>
    <w:rsid w:val="3E7C38CA"/>
    <w:rsid w:val="3E88703D"/>
    <w:rsid w:val="3E896B3A"/>
    <w:rsid w:val="3E8D1F7B"/>
    <w:rsid w:val="3E921340"/>
    <w:rsid w:val="3E926DF7"/>
    <w:rsid w:val="3E942195"/>
    <w:rsid w:val="3E9926CE"/>
    <w:rsid w:val="3E9A01F4"/>
    <w:rsid w:val="3EAB2402"/>
    <w:rsid w:val="3EB017C6"/>
    <w:rsid w:val="3EB56DDC"/>
    <w:rsid w:val="3EB709CC"/>
    <w:rsid w:val="3EC040FF"/>
    <w:rsid w:val="3ED6747E"/>
    <w:rsid w:val="3ED74FA5"/>
    <w:rsid w:val="3EE00325"/>
    <w:rsid w:val="3EED2A1A"/>
    <w:rsid w:val="3EED47C8"/>
    <w:rsid w:val="3EF47905"/>
    <w:rsid w:val="3EF67B21"/>
    <w:rsid w:val="3EF75647"/>
    <w:rsid w:val="3EFB5137"/>
    <w:rsid w:val="3EFB6EE5"/>
    <w:rsid w:val="3EFF29CC"/>
    <w:rsid w:val="3F0044FB"/>
    <w:rsid w:val="3F0062A9"/>
    <w:rsid w:val="3F022FD7"/>
    <w:rsid w:val="3F06588A"/>
    <w:rsid w:val="3F082D64"/>
    <w:rsid w:val="3F177A97"/>
    <w:rsid w:val="3F255D10"/>
    <w:rsid w:val="3F2A1578"/>
    <w:rsid w:val="3F2B709E"/>
    <w:rsid w:val="3F2D72BA"/>
    <w:rsid w:val="3F3728E6"/>
    <w:rsid w:val="3F400D9C"/>
    <w:rsid w:val="3F473ED8"/>
    <w:rsid w:val="3F524B18"/>
    <w:rsid w:val="3F6D2F8A"/>
    <w:rsid w:val="3F780536"/>
    <w:rsid w:val="3F9D1D4A"/>
    <w:rsid w:val="3FA07A8C"/>
    <w:rsid w:val="3FA23805"/>
    <w:rsid w:val="3FBE7F13"/>
    <w:rsid w:val="3FC1012F"/>
    <w:rsid w:val="3FC512A1"/>
    <w:rsid w:val="3FC92B3F"/>
    <w:rsid w:val="3FCB2D5B"/>
    <w:rsid w:val="3FD00372"/>
    <w:rsid w:val="3FD31C10"/>
    <w:rsid w:val="3FD61700"/>
    <w:rsid w:val="3FD80FD4"/>
    <w:rsid w:val="3FDD3AA0"/>
    <w:rsid w:val="3FDF2363"/>
    <w:rsid w:val="3FE1257F"/>
    <w:rsid w:val="3FE21E53"/>
    <w:rsid w:val="3FE43E1D"/>
    <w:rsid w:val="3FE657F5"/>
    <w:rsid w:val="3FE7577B"/>
    <w:rsid w:val="3FEB6F5A"/>
    <w:rsid w:val="3FF878C8"/>
    <w:rsid w:val="4004001B"/>
    <w:rsid w:val="40056625"/>
    <w:rsid w:val="400E0E9A"/>
    <w:rsid w:val="40337C81"/>
    <w:rsid w:val="40491ED2"/>
    <w:rsid w:val="405014B2"/>
    <w:rsid w:val="40664832"/>
    <w:rsid w:val="40681E9C"/>
    <w:rsid w:val="40692574"/>
    <w:rsid w:val="407056B1"/>
    <w:rsid w:val="40750F19"/>
    <w:rsid w:val="407A652F"/>
    <w:rsid w:val="407D392A"/>
    <w:rsid w:val="4081166C"/>
    <w:rsid w:val="4081471F"/>
    <w:rsid w:val="40896772"/>
    <w:rsid w:val="408A257C"/>
    <w:rsid w:val="408A27E9"/>
    <w:rsid w:val="408B24EB"/>
    <w:rsid w:val="408D1DBF"/>
    <w:rsid w:val="409902AF"/>
    <w:rsid w:val="409C0254"/>
    <w:rsid w:val="409F1AF2"/>
    <w:rsid w:val="409F7D44"/>
    <w:rsid w:val="40A43FE1"/>
    <w:rsid w:val="40A56901"/>
    <w:rsid w:val="40B27A77"/>
    <w:rsid w:val="40BA692C"/>
    <w:rsid w:val="40C41559"/>
    <w:rsid w:val="40C652D1"/>
    <w:rsid w:val="40CD48B1"/>
    <w:rsid w:val="40D479EE"/>
    <w:rsid w:val="40D519B8"/>
    <w:rsid w:val="40D774DE"/>
    <w:rsid w:val="40D804AB"/>
    <w:rsid w:val="40D93256"/>
    <w:rsid w:val="40D95004"/>
    <w:rsid w:val="40E1210B"/>
    <w:rsid w:val="40E65973"/>
    <w:rsid w:val="40F42EE7"/>
    <w:rsid w:val="40F54C1B"/>
    <w:rsid w:val="41114342"/>
    <w:rsid w:val="4114603C"/>
    <w:rsid w:val="41151DB4"/>
    <w:rsid w:val="411C75E7"/>
    <w:rsid w:val="41202C33"/>
    <w:rsid w:val="412A3AB2"/>
    <w:rsid w:val="412C5A7C"/>
    <w:rsid w:val="412D25B4"/>
    <w:rsid w:val="412F731A"/>
    <w:rsid w:val="41390199"/>
    <w:rsid w:val="41401527"/>
    <w:rsid w:val="4148218A"/>
    <w:rsid w:val="41483F38"/>
    <w:rsid w:val="414F176A"/>
    <w:rsid w:val="415723CD"/>
    <w:rsid w:val="41603701"/>
    <w:rsid w:val="4162324B"/>
    <w:rsid w:val="416E7E42"/>
    <w:rsid w:val="417010BF"/>
    <w:rsid w:val="41735459"/>
    <w:rsid w:val="41760AA5"/>
    <w:rsid w:val="41763F25"/>
    <w:rsid w:val="4177481D"/>
    <w:rsid w:val="417B430D"/>
    <w:rsid w:val="418036D2"/>
    <w:rsid w:val="418238EE"/>
    <w:rsid w:val="418A27A2"/>
    <w:rsid w:val="41A01FC6"/>
    <w:rsid w:val="41A35612"/>
    <w:rsid w:val="41AA074E"/>
    <w:rsid w:val="41AE46E3"/>
    <w:rsid w:val="41BB0BAE"/>
    <w:rsid w:val="41C04416"/>
    <w:rsid w:val="41CE268F"/>
    <w:rsid w:val="41D35EF7"/>
    <w:rsid w:val="41DA54D8"/>
    <w:rsid w:val="41DB4DAC"/>
    <w:rsid w:val="41E2613A"/>
    <w:rsid w:val="41ED15AE"/>
    <w:rsid w:val="41EE0F83"/>
    <w:rsid w:val="41F9028E"/>
    <w:rsid w:val="41FF743B"/>
    <w:rsid w:val="42023369"/>
    <w:rsid w:val="420C1409"/>
    <w:rsid w:val="42162288"/>
    <w:rsid w:val="42164036"/>
    <w:rsid w:val="42165DE4"/>
    <w:rsid w:val="421B164C"/>
    <w:rsid w:val="42204EB5"/>
    <w:rsid w:val="42240501"/>
    <w:rsid w:val="42295B17"/>
    <w:rsid w:val="422B27D0"/>
    <w:rsid w:val="42332E3A"/>
    <w:rsid w:val="423B584A"/>
    <w:rsid w:val="4241402F"/>
    <w:rsid w:val="42462B6D"/>
    <w:rsid w:val="4246491B"/>
    <w:rsid w:val="42536E3E"/>
    <w:rsid w:val="4258464E"/>
    <w:rsid w:val="425A3F23"/>
    <w:rsid w:val="42666D6B"/>
    <w:rsid w:val="42693067"/>
    <w:rsid w:val="426B4382"/>
    <w:rsid w:val="427C658F"/>
    <w:rsid w:val="427D1B8C"/>
    <w:rsid w:val="427D40B5"/>
    <w:rsid w:val="4283791D"/>
    <w:rsid w:val="42843695"/>
    <w:rsid w:val="429338D8"/>
    <w:rsid w:val="429531AD"/>
    <w:rsid w:val="42A258CA"/>
    <w:rsid w:val="42A72EE0"/>
    <w:rsid w:val="42A930FC"/>
    <w:rsid w:val="42B51AA1"/>
    <w:rsid w:val="42BE0955"/>
    <w:rsid w:val="42C615B8"/>
    <w:rsid w:val="42DF267A"/>
    <w:rsid w:val="42DF6B1E"/>
    <w:rsid w:val="42E27F91"/>
    <w:rsid w:val="42E87780"/>
    <w:rsid w:val="42F500EF"/>
    <w:rsid w:val="43087E22"/>
    <w:rsid w:val="430976F7"/>
    <w:rsid w:val="431A1904"/>
    <w:rsid w:val="431A7B56"/>
    <w:rsid w:val="431C1B20"/>
    <w:rsid w:val="433160F3"/>
    <w:rsid w:val="43317379"/>
    <w:rsid w:val="433B1FA6"/>
    <w:rsid w:val="433F136A"/>
    <w:rsid w:val="43452E25"/>
    <w:rsid w:val="4346094B"/>
    <w:rsid w:val="4355471C"/>
    <w:rsid w:val="43601A0D"/>
    <w:rsid w:val="436314FD"/>
    <w:rsid w:val="43672D9B"/>
    <w:rsid w:val="43727992"/>
    <w:rsid w:val="438A4CDB"/>
    <w:rsid w:val="438F22F2"/>
    <w:rsid w:val="43963680"/>
    <w:rsid w:val="43A044FF"/>
    <w:rsid w:val="43A04D6B"/>
    <w:rsid w:val="43A22025"/>
    <w:rsid w:val="43B05A2D"/>
    <w:rsid w:val="43B46C27"/>
    <w:rsid w:val="43C53F65"/>
    <w:rsid w:val="43C875B2"/>
    <w:rsid w:val="43C95804"/>
    <w:rsid w:val="43CC70A2"/>
    <w:rsid w:val="43CD4BC8"/>
    <w:rsid w:val="43CF0940"/>
    <w:rsid w:val="43D06BDC"/>
    <w:rsid w:val="43D61CCF"/>
    <w:rsid w:val="43D83C99"/>
    <w:rsid w:val="43F068B0"/>
    <w:rsid w:val="43F65ECD"/>
    <w:rsid w:val="43FB7987"/>
    <w:rsid w:val="43FE2FD4"/>
    <w:rsid w:val="4416031D"/>
    <w:rsid w:val="441B2C89"/>
    <w:rsid w:val="441D16AC"/>
    <w:rsid w:val="44224F14"/>
    <w:rsid w:val="442567B2"/>
    <w:rsid w:val="44305883"/>
    <w:rsid w:val="4439400C"/>
    <w:rsid w:val="443D58AA"/>
    <w:rsid w:val="44421112"/>
    <w:rsid w:val="44457F0B"/>
    <w:rsid w:val="4448150D"/>
    <w:rsid w:val="444E5D09"/>
    <w:rsid w:val="445157F9"/>
    <w:rsid w:val="44565384"/>
    <w:rsid w:val="445C6678"/>
    <w:rsid w:val="445F1CC4"/>
    <w:rsid w:val="44685F37"/>
    <w:rsid w:val="446A2417"/>
    <w:rsid w:val="4484797D"/>
    <w:rsid w:val="449000D0"/>
    <w:rsid w:val="449F0313"/>
    <w:rsid w:val="44A257B5"/>
    <w:rsid w:val="44AD0C81"/>
    <w:rsid w:val="44B042CE"/>
    <w:rsid w:val="44BB41F5"/>
    <w:rsid w:val="44DE1D54"/>
    <w:rsid w:val="44DE708D"/>
    <w:rsid w:val="44E4041B"/>
    <w:rsid w:val="44EB7686"/>
    <w:rsid w:val="44ED266A"/>
    <w:rsid w:val="44F00B6E"/>
    <w:rsid w:val="44F543D6"/>
    <w:rsid w:val="44F92119"/>
    <w:rsid w:val="44F93EC7"/>
    <w:rsid w:val="45062140"/>
    <w:rsid w:val="450E7246"/>
    <w:rsid w:val="45106AAC"/>
    <w:rsid w:val="45161C3B"/>
    <w:rsid w:val="451F76A5"/>
    <w:rsid w:val="4530540F"/>
    <w:rsid w:val="45344EFF"/>
    <w:rsid w:val="45433394"/>
    <w:rsid w:val="454D7D6F"/>
    <w:rsid w:val="45550A69"/>
    <w:rsid w:val="45601EAE"/>
    <w:rsid w:val="45633A36"/>
    <w:rsid w:val="45763769"/>
    <w:rsid w:val="45943BEF"/>
    <w:rsid w:val="45A2455E"/>
    <w:rsid w:val="45A75795"/>
    <w:rsid w:val="45C27178"/>
    <w:rsid w:val="45C67B21"/>
    <w:rsid w:val="45C97502"/>
    <w:rsid w:val="45D4223E"/>
    <w:rsid w:val="45DB181E"/>
    <w:rsid w:val="45DB35CC"/>
    <w:rsid w:val="45E2495B"/>
    <w:rsid w:val="45F50FA3"/>
    <w:rsid w:val="461A0599"/>
    <w:rsid w:val="461B1C1B"/>
    <w:rsid w:val="461E795D"/>
    <w:rsid w:val="46205483"/>
    <w:rsid w:val="46256F3D"/>
    <w:rsid w:val="46296C74"/>
    <w:rsid w:val="46342CDD"/>
    <w:rsid w:val="463B050F"/>
    <w:rsid w:val="46405B25"/>
    <w:rsid w:val="464473C4"/>
    <w:rsid w:val="46472A10"/>
    <w:rsid w:val="46500380"/>
    <w:rsid w:val="46517D32"/>
    <w:rsid w:val="46552F9B"/>
    <w:rsid w:val="46560EA5"/>
    <w:rsid w:val="465D4B93"/>
    <w:rsid w:val="46674865"/>
    <w:rsid w:val="466C691A"/>
    <w:rsid w:val="467001B9"/>
    <w:rsid w:val="46727EF2"/>
    <w:rsid w:val="46737CA9"/>
    <w:rsid w:val="467852BF"/>
    <w:rsid w:val="46796435"/>
    <w:rsid w:val="46841EB6"/>
    <w:rsid w:val="46867F0B"/>
    <w:rsid w:val="46875502"/>
    <w:rsid w:val="468D5700"/>
    <w:rsid w:val="468E4AE3"/>
    <w:rsid w:val="46911EDD"/>
    <w:rsid w:val="469D6BC0"/>
    <w:rsid w:val="46A132FF"/>
    <w:rsid w:val="46AA2F9F"/>
    <w:rsid w:val="46AE2A8F"/>
    <w:rsid w:val="46C2478C"/>
    <w:rsid w:val="46D87B0C"/>
    <w:rsid w:val="46E841F3"/>
    <w:rsid w:val="46F030A7"/>
    <w:rsid w:val="470E352E"/>
    <w:rsid w:val="471A1ED2"/>
    <w:rsid w:val="471F573B"/>
    <w:rsid w:val="47253CE2"/>
    <w:rsid w:val="472E0C7B"/>
    <w:rsid w:val="472F1E22"/>
    <w:rsid w:val="47332F94"/>
    <w:rsid w:val="47336D5B"/>
    <w:rsid w:val="473D3E13"/>
    <w:rsid w:val="4746716B"/>
    <w:rsid w:val="47486A40"/>
    <w:rsid w:val="47495725"/>
    <w:rsid w:val="474E6020"/>
    <w:rsid w:val="47571378"/>
    <w:rsid w:val="475C24EB"/>
    <w:rsid w:val="476615BC"/>
    <w:rsid w:val="47685334"/>
    <w:rsid w:val="476D294A"/>
    <w:rsid w:val="477041E8"/>
    <w:rsid w:val="47727F60"/>
    <w:rsid w:val="47775577"/>
    <w:rsid w:val="47792945"/>
    <w:rsid w:val="47797541"/>
    <w:rsid w:val="477A6E15"/>
    <w:rsid w:val="477E3965"/>
    <w:rsid w:val="47825C5D"/>
    <w:rsid w:val="47857C94"/>
    <w:rsid w:val="478A67A4"/>
    <w:rsid w:val="478B56E4"/>
    <w:rsid w:val="478F0B12"/>
    <w:rsid w:val="479559FD"/>
    <w:rsid w:val="479E48B1"/>
    <w:rsid w:val="47A0665A"/>
    <w:rsid w:val="47A85730"/>
    <w:rsid w:val="47B42327"/>
    <w:rsid w:val="47BB36B5"/>
    <w:rsid w:val="47C22C96"/>
    <w:rsid w:val="47C95A72"/>
    <w:rsid w:val="47CA7D9C"/>
    <w:rsid w:val="47D14C87"/>
    <w:rsid w:val="47D26C51"/>
    <w:rsid w:val="47DE5C0E"/>
    <w:rsid w:val="47E0136E"/>
    <w:rsid w:val="47E30E5E"/>
    <w:rsid w:val="47FC5A7C"/>
    <w:rsid w:val="480A63EB"/>
    <w:rsid w:val="480A6E93"/>
    <w:rsid w:val="480C5CBF"/>
    <w:rsid w:val="48117779"/>
    <w:rsid w:val="48315726"/>
    <w:rsid w:val="48384D06"/>
    <w:rsid w:val="48390A7E"/>
    <w:rsid w:val="484A6E76"/>
    <w:rsid w:val="484E277B"/>
    <w:rsid w:val="4851401A"/>
    <w:rsid w:val="486A0C38"/>
    <w:rsid w:val="486A6E89"/>
    <w:rsid w:val="487570F2"/>
    <w:rsid w:val="487675DC"/>
    <w:rsid w:val="488429C0"/>
    <w:rsid w:val="488708E6"/>
    <w:rsid w:val="48967C7F"/>
    <w:rsid w:val="489D7E03"/>
    <w:rsid w:val="48A759E8"/>
    <w:rsid w:val="48AD09B5"/>
    <w:rsid w:val="48B30830"/>
    <w:rsid w:val="48B3438D"/>
    <w:rsid w:val="48B63E7D"/>
    <w:rsid w:val="48B819A3"/>
    <w:rsid w:val="48C04785"/>
    <w:rsid w:val="48C04CFB"/>
    <w:rsid w:val="48C77E38"/>
    <w:rsid w:val="48D32C81"/>
    <w:rsid w:val="48D57EB8"/>
    <w:rsid w:val="48D6451F"/>
    <w:rsid w:val="48D90393"/>
    <w:rsid w:val="48E00EFA"/>
    <w:rsid w:val="48E24C72"/>
    <w:rsid w:val="48E3799B"/>
    <w:rsid w:val="48EA3B26"/>
    <w:rsid w:val="48F6071D"/>
    <w:rsid w:val="48FC3F85"/>
    <w:rsid w:val="48FD385A"/>
    <w:rsid w:val="48FF75D2"/>
    <w:rsid w:val="49066BB2"/>
    <w:rsid w:val="4907292A"/>
    <w:rsid w:val="490966A2"/>
    <w:rsid w:val="491C4628"/>
    <w:rsid w:val="492359B6"/>
    <w:rsid w:val="49284D7B"/>
    <w:rsid w:val="492C413F"/>
    <w:rsid w:val="492E6109"/>
    <w:rsid w:val="49325BF9"/>
    <w:rsid w:val="493279A7"/>
    <w:rsid w:val="49330E37"/>
    <w:rsid w:val="493A2D00"/>
    <w:rsid w:val="493A685C"/>
    <w:rsid w:val="4948541D"/>
    <w:rsid w:val="494871CB"/>
    <w:rsid w:val="49557B3A"/>
    <w:rsid w:val="495E079C"/>
    <w:rsid w:val="4968586F"/>
    <w:rsid w:val="49837F59"/>
    <w:rsid w:val="49995C78"/>
    <w:rsid w:val="499A379E"/>
    <w:rsid w:val="49A62143"/>
    <w:rsid w:val="49B605D8"/>
    <w:rsid w:val="49BF6D61"/>
    <w:rsid w:val="49C32CF5"/>
    <w:rsid w:val="49D00F6E"/>
    <w:rsid w:val="49EB7805"/>
    <w:rsid w:val="49F7299F"/>
    <w:rsid w:val="49F96717"/>
    <w:rsid w:val="4A033589"/>
    <w:rsid w:val="4A05330E"/>
    <w:rsid w:val="4A070E34"/>
    <w:rsid w:val="4A094E84"/>
    <w:rsid w:val="4A094FB0"/>
    <w:rsid w:val="4A1672C9"/>
    <w:rsid w:val="4A174DEF"/>
    <w:rsid w:val="4A273284"/>
    <w:rsid w:val="4A317C5F"/>
    <w:rsid w:val="4A325785"/>
    <w:rsid w:val="4A365275"/>
    <w:rsid w:val="4A3C6604"/>
    <w:rsid w:val="4A407EA2"/>
    <w:rsid w:val="4A503792"/>
    <w:rsid w:val="4A6718D3"/>
    <w:rsid w:val="4A677B24"/>
    <w:rsid w:val="4A6C513B"/>
    <w:rsid w:val="4A761D4D"/>
    <w:rsid w:val="4A7B712C"/>
    <w:rsid w:val="4A7E6C1C"/>
    <w:rsid w:val="4A8C1339"/>
    <w:rsid w:val="4A923370"/>
    <w:rsid w:val="4AA246B9"/>
    <w:rsid w:val="4AAC3789"/>
    <w:rsid w:val="4AB50890"/>
    <w:rsid w:val="4AD17E03"/>
    <w:rsid w:val="4AD66A58"/>
    <w:rsid w:val="4AEB2504"/>
    <w:rsid w:val="4AEF3676"/>
    <w:rsid w:val="4AF01898"/>
    <w:rsid w:val="4AFF5FAF"/>
    <w:rsid w:val="4B02784D"/>
    <w:rsid w:val="4B0C4228"/>
    <w:rsid w:val="4B117A90"/>
    <w:rsid w:val="4B1355B6"/>
    <w:rsid w:val="4B1A3C35"/>
    <w:rsid w:val="4B1C090F"/>
    <w:rsid w:val="4B223D7A"/>
    <w:rsid w:val="4B3043BA"/>
    <w:rsid w:val="4B3117D6"/>
    <w:rsid w:val="4B3317B5"/>
    <w:rsid w:val="4B3612A5"/>
    <w:rsid w:val="4B38072F"/>
    <w:rsid w:val="4B386DCB"/>
    <w:rsid w:val="4B3C4B0D"/>
    <w:rsid w:val="4B414BEA"/>
    <w:rsid w:val="4B517E8D"/>
    <w:rsid w:val="4B531E57"/>
    <w:rsid w:val="4B553E21"/>
    <w:rsid w:val="4B577B99"/>
    <w:rsid w:val="4B736055"/>
    <w:rsid w:val="4B756271"/>
    <w:rsid w:val="4B78366B"/>
    <w:rsid w:val="4B7A73E4"/>
    <w:rsid w:val="4B7C7600"/>
    <w:rsid w:val="4B836B78"/>
    <w:rsid w:val="4B8D7117"/>
    <w:rsid w:val="4B9407BB"/>
    <w:rsid w:val="4B9D30D2"/>
    <w:rsid w:val="4B9E7576"/>
    <w:rsid w:val="4BA45417"/>
    <w:rsid w:val="4BA601D9"/>
    <w:rsid w:val="4BB943B0"/>
    <w:rsid w:val="4BC30D8B"/>
    <w:rsid w:val="4BCB0C66"/>
    <w:rsid w:val="4BD016F9"/>
    <w:rsid w:val="4BD765E4"/>
    <w:rsid w:val="4BEB02E1"/>
    <w:rsid w:val="4BEB6533"/>
    <w:rsid w:val="4BED5E07"/>
    <w:rsid w:val="4BF70A34"/>
    <w:rsid w:val="4C017B05"/>
    <w:rsid w:val="4C0E1B5C"/>
    <w:rsid w:val="4C1A4723"/>
    <w:rsid w:val="4C1C049B"/>
    <w:rsid w:val="4C1E4213"/>
    <w:rsid w:val="4C207F2B"/>
    <w:rsid w:val="4C2537F3"/>
    <w:rsid w:val="4C2D26A8"/>
    <w:rsid w:val="4C2F4672"/>
    <w:rsid w:val="4C491477"/>
    <w:rsid w:val="4C543352"/>
    <w:rsid w:val="4C55054E"/>
    <w:rsid w:val="4C5639AD"/>
    <w:rsid w:val="4C59790D"/>
    <w:rsid w:val="4C63256E"/>
    <w:rsid w:val="4C6D6F48"/>
    <w:rsid w:val="4C6E6B13"/>
    <w:rsid w:val="4C746529"/>
    <w:rsid w:val="4C787DC7"/>
    <w:rsid w:val="4C793B3F"/>
    <w:rsid w:val="4C934C01"/>
    <w:rsid w:val="4C991AEB"/>
    <w:rsid w:val="4CA30BBC"/>
    <w:rsid w:val="4CAC5CC3"/>
    <w:rsid w:val="4CAE37E9"/>
    <w:rsid w:val="4CBD57DA"/>
    <w:rsid w:val="4CBE1552"/>
    <w:rsid w:val="4CC36B68"/>
    <w:rsid w:val="4CC56D84"/>
    <w:rsid w:val="4CCD62E5"/>
    <w:rsid w:val="4CD174D7"/>
    <w:rsid w:val="4CD82614"/>
    <w:rsid w:val="4CED164A"/>
    <w:rsid w:val="4CF040C2"/>
    <w:rsid w:val="4CF06389"/>
    <w:rsid w:val="4CF11A96"/>
    <w:rsid w:val="4CF338F1"/>
    <w:rsid w:val="4CF80F08"/>
    <w:rsid w:val="4CF87317"/>
    <w:rsid w:val="4CFD02CC"/>
    <w:rsid w:val="4D0478AD"/>
    <w:rsid w:val="4D07114B"/>
    <w:rsid w:val="4D113D78"/>
    <w:rsid w:val="4D16138E"/>
    <w:rsid w:val="4D272AD5"/>
    <w:rsid w:val="4D2910C1"/>
    <w:rsid w:val="4D340293"/>
    <w:rsid w:val="4D3F2693"/>
    <w:rsid w:val="4D491763"/>
    <w:rsid w:val="4D4D1254"/>
    <w:rsid w:val="4D5320B4"/>
    <w:rsid w:val="4D565C2E"/>
    <w:rsid w:val="4D626381"/>
    <w:rsid w:val="4D6420F9"/>
    <w:rsid w:val="4D720CBA"/>
    <w:rsid w:val="4D810EFD"/>
    <w:rsid w:val="4D88228C"/>
    <w:rsid w:val="4D891B60"/>
    <w:rsid w:val="4D8B58D8"/>
    <w:rsid w:val="4D9329DF"/>
    <w:rsid w:val="4D9549A9"/>
    <w:rsid w:val="4D987FF5"/>
    <w:rsid w:val="4D9F3131"/>
    <w:rsid w:val="4DA150FB"/>
    <w:rsid w:val="4DA2003D"/>
    <w:rsid w:val="4DAB5F7A"/>
    <w:rsid w:val="4DAE15C6"/>
    <w:rsid w:val="4DBE3EFF"/>
    <w:rsid w:val="4DC112FA"/>
    <w:rsid w:val="4DC25072"/>
    <w:rsid w:val="4DC4528E"/>
    <w:rsid w:val="4DC4703C"/>
    <w:rsid w:val="4DD6080D"/>
    <w:rsid w:val="4DDD3C5A"/>
    <w:rsid w:val="4DDE00FE"/>
    <w:rsid w:val="4DEB45C9"/>
    <w:rsid w:val="4DFC67D6"/>
    <w:rsid w:val="4DFE42FC"/>
    <w:rsid w:val="4E010557"/>
    <w:rsid w:val="4E094A4F"/>
    <w:rsid w:val="4E0B4C6B"/>
    <w:rsid w:val="4E141D71"/>
    <w:rsid w:val="4E157897"/>
    <w:rsid w:val="4E173610"/>
    <w:rsid w:val="4E1C29D4"/>
    <w:rsid w:val="4E255D2C"/>
    <w:rsid w:val="4E296E9F"/>
    <w:rsid w:val="4E2B2C17"/>
    <w:rsid w:val="4E2F4715"/>
    <w:rsid w:val="4E350587"/>
    <w:rsid w:val="4E395334"/>
    <w:rsid w:val="4E45017D"/>
    <w:rsid w:val="4E467A51"/>
    <w:rsid w:val="4E5263F6"/>
    <w:rsid w:val="4E5D05B6"/>
    <w:rsid w:val="4E630603"/>
    <w:rsid w:val="4E6A1991"/>
    <w:rsid w:val="4E6F0D56"/>
    <w:rsid w:val="4E710F72"/>
    <w:rsid w:val="4E8011B5"/>
    <w:rsid w:val="4E802F63"/>
    <w:rsid w:val="4E807407"/>
    <w:rsid w:val="4E8651D3"/>
    <w:rsid w:val="4E872543"/>
    <w:rsid w:val="4E9E60B6"/>
    <w:rsid w:val="4EAA119F"/>
    <w:rsid w:val="4EB66985"/>
    <w:rsid w:val="4EB86BA1"/>
    <w:rsid w:val="4EC72940"/>
    <w:rsid w:val="4EC8490A"/>
    <w:rsid w:val="4EC87A74"/>
    <w:rsid w:val="4ECA0682"/>
    <w:rsid w:val="4ECA2430"/>
    <w:rsid w:val="4ECB112A"/>
    <w:rsid w:val="4ED35788"/>
    <w:rsid w:val="4ED432AF"/>
    <w:rsid w:val="4ED82D9F"/>
    <w:rsid w:val="4EE71234"/>
    <w:rsid w:val="4EEF633A"/>
    <w:rsid w:val="4EF23C5C"/>
    <w:rsid w:val="4F027E1C"/>
    <w:rsid w:val="4F035942"/>
    <w:rsid w:val="4F0F2043"/>
    <w:rsid w:val="4F0F2539"/>
    <w:rsid w:val="4F1418FD"/>
    <w:rsid w:val="4F2C6C47"/>
    <w:rsid w:val="4F3E697A"/>
    <w:rsid w:val="4F456715"/>
    <w:rsid w:val="4F492507"/>
    <w:rsid w:val="4F580F0B"/>
    <w:rsid w:val="4F5A37B4"/>
    <w:rsid w:val="4F5E3AE9"/>
    <w:rsid w:val="4F642884"/>
    <w:rsid w:val="4F6463E1"/>
    <w:rsid w:val="4F652159"/>
    <w:rsid w:val="4F6603AB"/>
    <w:rsid w:val="4F7D1114"/>
    <w:rsid w:val="4F7D275D"/>
    <w:rsid w:val="4F844CD5"/>
    <w:rsid w:val="4F870B2B"/>
    <w:rsid w:val="4F9D18F3"/>
    <w:rsid w:val="4FA50F25"/>
    <w:rsid w:val="4FB8672C"/>
    <w:rsid w:val="4FC155E1"/>
    <w:rsid w:val="4FCB6460"/>
    <w:rsid w:val="4FD86DCF"/>
    <w:rsid w:val="4FE13ED5"/>
    <w:rsid w:val="4FE15C83"/>
    <w:rsid w:val="4FE85264"/>
    <w:rsid w:val="4FED287A"/>
    <w:rsid w:val="4FF43C08"/>
    <w:rsid w:val="4FF754A7"/>
    <w:rsid w:val="4FF77255"/>
    <w:rsid w:val="500876B4"/>
    <w:rsid w:val="500F0A42"/>
    <w:rsid w:val="50131BB5"/>
    <w:rsid w:val="50137E07"/>
    <w:rsid w:val="50146059"/>
    <w:rsid w:val="501778F7"/>
    <w:rsid w:val="502618E8"/>
    <w:rsid w:val="50285660"/>
    <w:rsid w:val="502D2C76"/>
    <w:rsid w:val="50306C0B"/>
    <w:rsid w:val="50354221"/>
    <w:rsid w:val="503C735D"/>
    <w:rsid w:val="50406E4E"/>
    <w:rsid w:val="504601DC"/>
    <w:rsid w:val="5047736B"/>
    <w:rsid w:val="50487AB0"/>
    <w:rsid w:val="504F52E3"/>
    <w:rsid w:val="50597F0F"/>
    <w:rsid w:val="505E1082"/>
    <w:rsid w:val="506B379F"/>
    <w:rsid w:val="50746AF7"/>
    <w:rsid w:val="507A1C34"/>
    <w:rsid w:val="508D7BB9"/>
    <w:rsid w:val="50923421"/>
    <w:rsid w:val="50926F7D"/>
    <w:rsid w:val="5095081C"/>
    <w:rsid w:val="50962F12"/>
    <w:rsid w:val="509947B0"/>
    <w:rsid w:val="509B22D6"/>
    <w:rsid w:val="50B60EBE"/>
    <w:rsid w:val="50BA5154"/>
    <w:rsid w:val="50D15CF8"/>
    <w:rsid w:val="50D17AA6"/>
    <w:rsid w:val="50D650BC"/>
    <w:rsid w:val="50D852D8"/>
    <w:rsid w:val="50DE1214"/>
    <w:rsid w:val="50E377D9"/>
    <w:rsid w:val="50E84DEF"/>
    <w:rsid w:val="50EC48E0"/>
    <w:rsid w:val="50ED0658"/>
    <w:rsid w:val="50F6750C"/>
    <w:rsid w:val="50F87728"/>
    <w:rsid w:val="5100482F"/>
    <w:rsid w:val="510065DD"/>
    <w:rsid w:val="510155EC"/>
    <w:rsid w:val="51037E7B"/>
    <w:rsid w:val="5107796B"/>
    <w:rsid w:val="510F6820"/>
    <w:rsid w:val="511856D5"/>
    <w:rsid w:val="51234079"/>
    <w:rsid w:val="5127444D"/>
    <w:rsid w:val="51422751"/>
    <w:rsid w:val="51454E2B"/>
    <w:rsid w:val="51495FEA"/>
    <w:rsid w:val="514A7858"/>
    <w:rsid w:val="514B3CFC"/>
    <w:rsid w:val="514C024A"/>
    <w:rsid w:val="515626A1"/>
    <w:rsid w:val="51646B6C"/>
    <w:rsid w:val="516A1CA8"/>
    <w:rsid w:val="516B614C"/>
    <w:rsid w:val="51736DAF"/>
    <w:rsid w:val="517B5C63"/>
    <w:rsid w:val="517E06F1"/>
    <w:rsid w:val="51874608"/>
    <w:rsid w:val="518D075D"/>
    <w:rsid w:val="518E30D2"/>
    <w:rsid w:val="51905BB3"/>
    <w:rsid w:val="51984A67"/>
    <w:rsid w:val="519B00B4"/>
    <w:rsid w:val="519B6306"/>
    <w:rsid w:val="51A74CAA"/>
    <w:rsid w:val="51A76A58"/>
    <w:rsid w:val="51A927D1"/>
    <w:rsid w:val="51A968D5"/>
    <w:rsid w:val="51A96C75"/>
    <w:rsid w:val="51BC559F"/>
    <w:rsid w:val="51C13FBE"/>
    <w:rsid w:val="51C4585C"/>
    <w:rsid w:val="51CB2747"/>
    <w:rsid w:val="51FA7E28"/>
    <w:rsid w:val="520471A3"/>
    <w:rsid w:val="52067C23"/>
    <w:rsid w:val="520744D7"/>
    <w:rsid w:val="520E4D2A"/>
    <w:rsid w:val="521265C8"/>
    <w:rsid w:val="522B768A"/>
    <w:rsid w:val="522D1654"/>
    <w:rsid w:val="523826BF"/>
    <w:rsid w:val="523C53F3"/>
    <w:rsid w:val="52412A09"/>
    <w:rsid w:val="52417B76"/>
    <w:rsid w:val="524D7600"/>
    <w:rsid w:val="525210BA"/>
    <w:rsid w:val="52554706"/>
    <w:rsid w:val="52567547"/>
    <w:rsid w:val="525C5A95"/>
    <w:rsid w:val="525E180D"/>
    <w:rsid w:val="525F7333"/>
    <w:rsid w:val="52701540"/>
    <w:rsid w:val="527728CF"/>
    <w:rsid w:val="527C1C93"/>
    <w:rsid w:val="52846D9A"/>
    <w:rsid w:val="5288688A"/>
    <w:rsid w:val="528943B0"/>
    <w:rsid w:val="528F1887"/>
    <w:rsid w:val="529A036B"/>
    <w:rsid w:val="52A42F98"/>
    <w:rsid w:val="52C06024"/>
    <w:rsid w:val="52CD452C"/>
    <w:rsid w:val="52D23FA9"/>
    <w:rsid w:val="52E141EC"/>
    <w:rsid w:val="52E15F9A"/>
    <w:rsid w:val="52E31D12"/>
    <w:rsid w:val="52E37F64"/>
    <w:rsid w:val="52EA12F3"/>
    <w:rsid w:val="52F36269"/>
    <w:rsid w:val="52F757BE"/>
    <w:rsid w:val="53095C1D"/>
    <w:rsid w:val="53096DD1"/>
    <w:rsid w:val="53097369"/>
    <w:rsid w:val="53230361"/>
    <w:rsid w:val="532540D9"/>
    <w:rsid w:val="532B4788"/>
    <w:rsid w:val="53332C9A"/>
    <w:rsid w:val="53334A48"/>
    <w:rsid w:val="5334431C"/>
    <w:rsid w:val="53401EAD"/>
    <w:rsid w:val="5345477B"/>
    <w:rsid w:val="53535297"/>
    <w:rsid w:val="53582700"/>
    <w:rsid w:val="5358625C"/>
    <w:rsid w:val="535E583D"/>
    <w:rsid w:val="53705FE6"/>
    <w:rsid w:val="537854D3"/>
    <w:rsid w:val="538C4158"/>
    <w:rsid w:val="53966D85"/>
    <w:rsid w:val="539D0113"/>
    <w:rsid w:val="539D45B7"/>
    <w:rsid w:val="539F3E8B"/>
    <w:rsid w:val="53A13825"/>
    <w:rsid w:val="53A53ECB"/>
    <w:rsid w:val="53B13BBE"/>
    <w:rsid w:val="53C378F8"/>
    <w:rsid w:val="53E21FCA"/>
    <w:rsid w:val="53E27730"/>
    <w:rsid w:val="53E421E6"/>
    <w:rsid w:val="53F51CFD"/>
    <w:rsid w:val="540463E4"/>
    <w:rsid w:val="54120B01"/>
    <w:rsid w:val="541F6D7A"/>
    <w:rsid w:val="54210D44"/>
    <w:rsid w:val="54244390"/>
    <w:rsid w:val="54273E81"/>
    <w:rsid w:val="542B4919"/>
    <w:rsid w:val="54332F77"/>
    <w:rsid w:val="543C792C"/>
    <w:rsid w:val="54426862"/>
    <w:rsid w:val="54436F0C"/>
    <w:rsid w:val="5449029B"/>
    <w:rsid w:val="54505185"/>
    <w:rsid w:val="54532EC8"/>
    <w:rsid w:val="545B7101"/>
    <w:rsid w:val="545C7FCE"/>
    <w:rsid w:val="54680721"/>
    <w:rsid w:val="54697993"/>
    <w:rsid w:val="546D5D37"/>
    <w:rsid w:val="54751090"/>
    <w:rsid w:val="547A48F8"/>
    <w:rsid w:val="547F6C31"/>
    <w:rsid w:val="548337AD"/>
    <w:rsid w:val="54882B71"/>
    <w:rsid w:val="54AA6F8B"/>
    <w:rsid w:val="54AE67BC"/>
    <w:rsid w:val="54B020C8"/>
    <w:rsid w:val="54B0242B"/>
    <w:rsid w:val="54B55930"/>
    <w:rsid w:val="54B6421E"/>
    <w:rsid w:val="54B818F6"/>
    <w:rsid w:val="54BA6AA3"/>
    <w:rsid w:val="54C85664"/>
    <w:rsid w:val="54C87878"/>
    <w:rsid w:val="54D264E2"/>
    <w:rsid w:val="54EF499E"/>
    <w:rsid w:val="54F41FB5"/>
    <w:rsid w:val="54F55D2D"/>
    <w:rsid w:val="54F9581D"/>
    <w:rsid w:val="54F97F69"/>
    <w:rsid w:val="54FE4BE1"/>
    <w:rsid w:val="55032824"/>
    <w:rsid w:val="550541C2"/>
    <w:rsid w:val="5507618C"/>
    <w:rsid w:val="551D59AF"/>
    <w:rsid w:val="55202DAA"/>
    <w:rsid w:val="55254864"/>
    <w:rsid w:val="55325E6D"/>
    <w:rsid w:val="55326F81"/>
    <w:rsid w:val="55344AA7"/>
    <w:rsid w:val="554234EE"/>
    <w:rsid w:val="55434CEA"/>
    <w:rsid w:val="55515659"/>
    <w:rsid w:val="555313D1"/>
    <w:rsid w:val="555D2250"/>
    <w:rsid w:val="555D75E8"/>
    <w:rsid w:val="55682831"/>
    <w:rsid w:val="556E7FB9"/>
    <w:rsid w:val="5572737D"/>
    <w:rsid w:val="557B26D6"/>
    <w:rsid w:val="557C1FAA"/>
    <w:rsid w:val="55987AD6"/>
    <w:rsid w:val="55AE2AAB"/>
    <w:rsid w:val="55AF6D23"/>
    <w:rsid w:val="55B0580B"/>
    <w:rsid w:val="55C37BD9"/>
    <w:rsid w:val="55C51BA3"/>
    <w:rsid w:val="55D41DE6"/>
    <w:rsid w:val="55D818D6"/>
    <w:rsid w:val="55DD6EED"/>
    <w:rsid w:val="55E41E4E"/>
    <w:rsid w:val="55E42029"/>
    <w:rsid w:val="55E77A66"/>
    <w:rsid w:val="55FF3307"/>
    <w:rsid w:val="56073F6A"/>
    <w:rsid w:val="561548D9"/>
    <w:rsid w:val="561B17C3"/>
    <w:rsid w:val="561F5757"/>
    <w:rsid w:val="5621327D"/>
    <w:rsid w:val="562C5897"/>
    <w:rsid w:val="5630526E"/>
    <w:rsid w:val="56312D95"/>
    <w:rsid w:val="5634515D"/>
    <w:rsid w:val="563A1EA2"/>
    <w:rsid w:val="563A7E9B"/>
    <w:rsid w:val="563D43A6"/>
    <w:rsid w:val="5647080A"/>
    <w:rsid w:val="56530F5D"/>
    <w:rsid w:val="565C42B5"/>
    <w:rsid w:val="56617B1E"/>
    <w:rsid w:val="567B5D96"/>
    <w:rsid w:val="567C6706"/>
    <w:rsid w:val="5689497F"/>
    <w:rsid w:val="568B06F7"/>
    <w:rsid w:val="56921A85"/>
    <w:rsid w:val="5697709C"/>
    <w:rsid w:val="569C6DA8"/>
    <w:rsid w:val="56A17F1A"/>
    <w:rsid w:val="56A73AE5"/>
    <w:rsid w:val="56A874FB"/>
    <w:rsid w:val="56B50DDD"/>
    <w:rsid w:val="56B539C6"/>
    <w:rsid w:val="56B713E3"/>
    <w:rsid w:val="56BA0FDC"/>
    <w:rsid w:val="56C41E5B"/>
    <w:rsid w:val="56C854A7"/>
    <w:rsid w:val="56CB4F97"/>
    <w:rsid w:val="56CD0D0F"/>
    <w:rsid w:val="56CD6F61"/>
    <w:rsid w:val="56CF7CAC"/>
    <w:rsid w:val="56D24578"/>
    <w:rsid w:val="56D26326"/>
    <w:rsid w:val="56DB78D0"/>
    <w:rsid w:val="56E10C5F"/>
    <w:rsid w:val="56E60023"/>
    <w:rsid w:val="56E61DD1"/>
    <w:rsid w:val="56EF6ED8"/>
    <w:rsid w:val="56F20776"/>
    <w:rsid w:val="56F72C39"/>
    <w:rsid w:val="56FB7FB5"/>
    <w:rsid w:val="57006761"/>
    <w:rsid w:val="570109B9"/>
    <w:rsid w:val="57014E5D"/>
    <w:rsid w:val="57030BD5"/>
    <w:rsid w:val="570D735E"/>
    <w:rsid w:val="570F30D6"/>
    <w:rsid w:val="571406EC"/>
    <w:rsid w:val="57182E32"/>
    <w:rsid w:val="571B5F1F"/>
    <w:rsid w:val="572277B2"/>
    <w:rsid w:val="572B1EDA"/>
    <w:rsid w:val="572F70AF"/>
    <w:rsid w:val="57314B29"/>
    <w:rsid w:val="57340D8E"/>
    <w:rsid w:val="57342B3C"/>
    <w:rsid w:val="57392849"/>
    <w:rsid w:val="573B211D"/>
    <w:rsid w:val="57435475"/>
    <w:rsid w:val="57437223"/>
    <w:rsid w:val="57454D4A"/>
    <w:rsid w:val="57484C85"/>
    <w:rsid w:val="574D00A2"/>
    <w:rsid w:val="574D3BFE"/>
    <w:rsid w:val="57535931"/>
    <w:rsid w:val="57541431"/>
    <w:rsid w:val="57633422"/>
    <w:rsid w:val="576C7D10"/>
    <w:rsid w:val="576D604E"/>
    <w:rsid w:val="57770C7B"/>
    <w:rsid w:val="57783371"/>
    <w:rsid w:val="577923C0"/>
    <w:rsid w:val="57845462"/>
    <w:rsid w:val="57877110"/>
    <w:rsid w:val="57916D63"/>
    <w:rsid w:val="579932E7"/>
    <w:rsid w:val="57A0450A"/>
    <w:rsid w:val="57A21429"/>
    <w:rsid w:val="57B63E99"/>
    <w:rsid w:val="57B819BF"/>
    <w:rsid w:val="57BD5228"/>
    <w:rsid w:val="57D00194"/>
    <w:rsid w:val="57D63BF4"/>
    <w:rsid w:val="57DB56AE"/>
    <w:rsid w:val="57F05FC9"/>
    <w:rsid w:val="58006EC2"/>
    <w:rsid w:val="580764A3"/>
    <w:rsid w:val="580E7831"/>
    <w:rsid w:val="581E5446"/>
    <w:rsid w:val="5829466B"/>
    <w:rsid w:val="582C4586"/>
    <w:rsid w:val="583542F8"/>
    <w:rsid w:val="583A6878"/>
    <w:rsid w:val="5842572D"/>
    <w:rsid w:val="58515970"/>
    <w:rsid w:val="58535244"/>
    <w:rsid w:val="58590389"/>
    <w:rsid w:val="585B059D"/>
    <w:rsid w:val="586236D9"/>
    <w:rsid w:val="58643764"/>
    <w:rsid w:val="587578B0"/>
    <w:rsid w:val="587A6C75"/>
    <w:rsid w:val="587B479B"/>
    <w:rsid w:val="58900246"/>
    <w:rsid w:val="58913FBE"/>
    <w:rsid w:val="58935F89"/>
    <w:rsid w:val="58B3435E"/>
    <w:rsid w:val="58BA52C3"/>
    <w:rsid w:val="58C148A4"/>
    <w:rsid w:val="58C16652"/>
    <w:rsid w:val="58C23AC4"/>
    <w:rsid w:val="58C61EBA"/>
    <w:rsid w:val="58CB127E"/>
    <w:rsid w:val="58CE6FC1"/>
    <w:rsid w:val="58D42829"/>
    <w:rsid w:val="58D66D94"/>
    <w:rsid w:val="58E32A6C"/>
    <w:rsid w:val="58ED38EB"/>
    <w:rsid w:val="5900361E"/>
    <w:rsid w:val="59050C34"/>
    <w:rsid w:val="590E4005"/>
    <w:rsid w:val="59126EAD"/>
    <w:rsid w:val="5919023C"/>
    <w:rsid w:val="591A2206"/>
    <w:rsid w:val="591F15CA"/>
    <w:rsid w:val="59205A6E"/>
    <w:rsid w:val="59253085"/>
    <w:rsid w:val="59411541"/>
    <w:rsid w:val="59441031"/>
    <w:rsid w:val="594554D5"/>
    <w:rsid w:val="594B0611"/>
    <w:rsid w:val="5952374E"/>
    <w:rsid w:val="59583887"/>
    <w:rsid w:val="595B72F8"/>
    <w:rsid w:val="595D1D80"/>
    <w:rsid w:val="5968439C"/>
    <w:rsid w:val="59684D1F"/>
    <w:rsid w:val="59701E26"/>
    <w:rsid w:val="59837DAB"/>
    <w:rsid w:val="59853B23"/>
    <w:rsid w:val="598633F7"/>
    <w:rsid w:val="598F49A2"/>
    <w:rsid w:val="599B6EA3"/>
    <w:rsid w:val="59AD307A"/>
    <w:rsid w:val="59B33ED2"/>
    <w:rsid w:val="59CF2FF0"/>
    <w:rsid w:val="59D800F7"/>
    <w:rsid w:val="59E06FAB"/>
    <w:rsid w:val="59EC76FE"/>
    <w:rsid w:val="59EE791A"/>
    <w:rsid w:val="59F14D15"/>
    <w:rsid w:val="59F6057D"/>
    <w:rsid w:val="5A04713E"/>
    <w:rsid w:val="5A0C4EF7"/>
    <w:rsid w:val="5A0E58C7"/>
    <w:rsid w:val="5A160C1F"/>
    <w:rsid w:val="5A221372"/>
    <w:rsid w:val="5A2B1871"/>
    <w:rsid w:val="5A3317D1"/>
    <w:rsid w:val="5A3D7F5A"/>
    <w:rsid w:val="5A562C9F"/>
    <w:rsid w:val="5A56726E"/>
    <w:rsid w:val="5A581238"/>
    <w:rsid w:val="5A5A35FA"/>
    <w:rsid w:val="5A61633E"/>
    <w:rsid w:val="5A642A8B"/>
    <w:rsid w:val="5A6B0F6B"/>
    <w:rsid w:val="5A6E0A5B"/>
    <w:rsid w:val="5A7122F9"/>
    <w:rsid w:val="5A723D78"/>
    <w:rsid w:val="5A737E20"/>
    <w:rsid w:val="5A7445FC"/>
    <w:rsid w:val="5A7C4F26"/>
    <w:rsid w:val="5A81253D"/>
    <w:rsid w:val="5A845B89"/>
    <w:rsid w:val="5A871B1D"/>
    <w:rsid w:val="5A8E6A07"/>
    <w:rsid w:val="5A9009D2"/>
    <w:rsid w:val="5A971D60"/>
    <w:rsid w:val="5AB52201"/>
    <w:rsid w:val="5AB75F5E"/>
    <w:rsid w:val="5ABA2A7F"/>
    <w:rsid w:val="5AC24903"/>
    <w:rsid w:val="5AC42429"/>
    <w:rsid w:val="5AC661A1"/>
    <w:rsid w:val="5AC70DB2"/>
    <w:rsid w:val="5AD05272"/>
    <w:rsid w:val="5AD54636"/>
    <w:rsid w:val="5AD563E4"/>
    <w:rsid w:val="5ADA39FB"/>
    <w:rsid w:val="5AF35AE7"/>
    <w:rsid w:val="5AFA409D"/>
    <w:rsid w:val="5B1433B1"/>
    <w:rsid w:val="5B1A1838"/>
    <w:rsid w:val="5B1E422F"/>
    <w:rsid w:val="5B1F2F52"/>
    <w:rsid w:val="5B2556F4"/>
    <w:rsid w:val="5B2B6D40"/>
    <w:rsid w:val="5B2D4472"/>
    <w:rsid w:val="5B305D11"/>
    <w:rsid w:val="5B3D2E59"/>
    <w:rsid w:val="5B411CCC"/>
    <w:rsid w:val="5B5714EF"/>
    <w:rsid w:val="5B647768"/>
    <w:rsid w:val="5B6A1223"/>
    <w:rsid w:val="5B77749C"/>
    <w:rsid w:val="5B791466"/>
    <w:rsid w:val="5B83224B"/>
    <w:rsid w:val="5B892342"/>
    <w:rsid w:val="5B8935B6"/>
    <w:rsid w:val="5B8C73EB"/>
    <w:rsid w:val="5B914A01"/>
    <w:rsid w:val="5B953DC6"/>
    <w:rsid w:val="5B995664"/>
    <w:rsid w:val="5B9E2C7A"/>
    <w:rsid w:val="5BA04C44"/>
    <w:rsid w:val="5BA54009"/>
    <w:rsid w:val="5BA64921"/>
    <w:rsid w:val="5BB93F58"/>
    <w:rsid w:val="5BB97AB4"/>
    <w:rsid w:val="5BBD57F6"/>
    <w:rsid w:val="5BCF1086"/>
    <w:rsid w:val="5BD029C0"/>
    <w:rsid w:val="5BD737D4"/>
    <w:rsid w:val="5BDE576D"/>
    <w:rsid w:val="5BDE751B"/>
    <w:rsid w:val="5BEA5EBF"/>
    <w:rsid w:val="5BED3C02"/>
    <w:rsid w:val="5BED775E"/>
    <w:rsid w:val="5C1178F0"/>
    <w:rsid w:val="5C125416"/>
    <w:rsid w:val="5C180C7F"/>
    <w:rsid w:val="5C1967A5"/>
    <w:rsid w:val="5C2C297C"/>
    <w:rsid w:val="5C335AB8"/>
    <w:rsid w:val="5C341831"/>
    <w:rsid w:val="5C3929A3"/>
    <w:rsid w:val="5C3B496D"/>
    <w:rsid w:val="5C3F26AF"/>
    <w:rsid w:val="5C471564"/>
    <w:rsid w:val="5C563555"/>
    <w:rsid w:val="5C583ACF"/>
    <w:rsid w:val="5C642116"/>
    <w:rsid w:val="5C732359"/>
    <w:rsid w:val="5C741C2D"/>
    <w:rsid w:val="5C762C61"/>
    <w:rsid w:val="5C797243"/>
    <w:rsid w:val="5C936557"/>
    <w:rsid w:val="5C974299"/>
    <w:rsid w:val="5C9D2F32"/>
    <w:rsid w:val="5CA249EC"/>
    <w:rsid w:val="5CA2679A"/>
    <w:rsid w:val="5CA6628A"/>
    <w:rsid w:val="5CAE3391"/>
    <w:rsid w:val="5CAF2C65"/>
    <w:rsid w:val="5CAF32BD"/>
    <w:rsid w:val="5CB52971"/>
    <w:rsid w:val="5CB84210"/>
    <w:rsid w:val="5CC42BB4"/>
    <w:rsid w:val="5CD43973"/>
    <w:rsid w:val="5CE172C2"/>
    <w:rsid w:val="5CE329E1"/>
    <w:rsid w:val="5CE61362"/>
    <w:rsid w:val="5CE70651"/>
    <w:rsid w:val="5CEE070F"/>
    <w:rsid w:val="5CFA0384"/>
    <w:rsid w:val="5CFD1C22"/>
    <w:rsid w:val="5CFF3BED"/>
    <w:rsid w:val="5D105DFA"/>
    <w:rsid w:val="5D245401"/>
    <w:rsid w:val="5D2673CB"/>
    <w:rsid w:val="5D2B6790"/>
    <w:rsid w:val="5D333896"/>
    <w:rsid w:val="5D3A2E77"/>
    <w:rsid w:val="5D445AA3"/>
    <w:rsid w:val="5D521F6E"/>
    <w:rsid w:val="5D537A94"/>
    <w:rsid w:val="5D5A52C7"/>
    <w:rsid w:val="5D5C7E02"/>
    <w:rsid w:val="5D6A375C"/>
    <w:rsid w:val="5D740137"/>
    <w:rsid w:val="5D7A14C5"/>
    <w:rsid w:val="5D861C18"/>
    <w:rsid w:val="5D9500AD"/>
    <w:rsid w:val="5D9C768D"/>
    <w:rsid w:val="5D9F0F2C"/>
    <w:rsid w:val="5D9F4226"/>
    <w:rsid w:val="5DB22A0D"/>
    <w:rsid w:val="5DB9023F"/>
    <w:rsid w:val="5DBC32E6"/>
    <w:rsid w:val="5DBC7D30"/>
    <w:rsid w:val="5DC10EA2"/>
    <w:rsid w:val="5DC41AD2"/>
    <w:rsid w:val="5DDE1A54"/>
    <w:rsid w:val="5DE352BC"/>
    <w:rsid w:val="5DE66B5A"/>
    <w:rsid w:val="5DE72293"/>
    <w:rsid w:val="5DEF41A6"/>
    <w:rsid w:val="5DF179D9"/>
    <w:rsid w:val="5DF23751"/>
    <w:rsid w:val="5E0019CA"/>
    <w:rsid w:val="5E1724EB"/>
    <w:rsid w:val="5E190CDE"/>
    <w:rsid w:val="5E1E62F4"/>
    <w:rsid w:val="5E231B5D"/>
    <w:rsid w:val="5E2C27BF"/>
    <w:rsid w:val="5E2F74B5"/>
    <w:rsid w:val="5E33399D"/>
    <w:rsid w:val="5E40626B"/>
    <w:rsid w:val="5E426F07"/>
    <w:rsid w:val="5E457D25"/>
    <w:rsid w:val="5E48511F"/>
    <w:rsid w:val="5E4A533B"/>
    <w:rsid w:val="5E4A70E9"/>
    <w:rsid w:val="5E4F2952"/>
    <w:rsid w:val="5E510478"/>
    <w:rsid w:val="5E666302"/>
    <w:rsid w:val="5E6953C0"/>
    <w:rsid w:val="5E6A778C"/>
    <w:rsid w:val="5E6E293E"/>
    <w:rsid w:val="5E767EDE"/>
    <w:rsid w:val="5E7A5C21"/>
    <w:rsid w:val="5E7B2E2E"/>
    <w:rsid w:val="5E7D126D"/>
    <w:rsid w:val="5E802B0B"/>
    <w:rsid w:val="5E885290"/>
    <w:rsid w:val="5E8E5228"/>
    <w:rsid w:val="5E9345EC"/>
    <w:rsid w:val="5E9640DD"/>
    <w:rsid w:val="5EAA7B88"/>
    <w:rsid w:val="5EAC1B52"/>
    <w:rsid w:val="5EB033F0"/>
    <w:rsid w:val="5EC96260"/>
    <w:rsid w:val="5ECC7AFE"/>
    <w:rsid w:val="5ED5315A"/>
    <w:rsid w:val="5EDA221B"/>
    <w:rsid w:val="5EDD7F5D"/>
    <w:rsid w:val="5EE0069A"/>
    <w:rsid w:val="5EE44E48"/>
    <w:rsid w:val="5EE94B54"/>
    <w:rsid w:val="5EEE3F19"/>
    <w:rsid w:val="5EF86B45"/>
    <w:rsid w:val="5EFA28BD"/>
    <w:rsid w:val="5EFD7E8E"/>
    <w:rsid w:val="5F00080E"/>
    <w:rsid w:val="5F074FDA"/>
    <w:rsid w:val="5F105B6B"/>
    <w:rsid w:val="5F15491C"/>
    <w:rsid w:val="5F1C6CD8"/>
    <w:rsid w:val="5F245B8C"/>
    <w:rsid w:val="5F2660D0"/>
    <w:rsid w:val="5F27742B"/>
    <w:rsid w:val="5F282CB2"/>
    <w:rsid w:val="5F296CFF"/>
    <w:rsid w:val="5F2D33BC"/>
    <w:rsid w:val="5F3D27AA"/>
    <w:rsid w:val="5F481454"/>
    <w:rsid w:val="5F5E109E"/>
    <w:rsid w:val="5F667F53"/>
    <w:rsid w:val="5F697A43"/>
    <w:rsid w:val="5F6A7656"/>
    <w:rsid w:val="5F7206A6"/>
    <w:rsid w:val="5F7F2DC3"/>
    <w:rsid w:val="5F887EC9"/>
    <w:rsid w:val="5F89483E"/>
    <w:rsid w:val="5F8A1DD7"/>
    <w:rsid w:val="5F8A1E93"/>
    <w:rsid w:val="5F8B5C0B"/>
    <w:rsid w:val="5F9677AA"/>
    <w:rsid w:val="5FAD7930"/>
    <w:rsid w:val="5FB955C0"/>
    <w:rsid w:val="5FC44C79"/>
    <w:rsid w:val="5FC832E0"/>
    <w:rsid w:val="5FD01870"/>
    <w:rsid w:val="5FD255E8"/>
    <w:rsid w:val="5FEC48FC"/>
    <w:rsid w:val="5FF437B1"/>
    <w:rsid w:val="5FF501C6"/>
    <w:rsid w:val="5FF53085"/>
    <w:rsid w:val="5FF732A1"/>
    <w:rsid w:val="5FFA069B"/>
    <w:rsid w:val="600339F4"/>
    <w:rsid w:val="600A14C3"/>
    <w:rsid w:val="600F05EB"/>
    <w:rsid w:val="60147621"/>
    <w:rsid w:val="60234096"/>
    <w:rsid w:val="60275934"/>
    <w:rsid w:val="6042276E"/>
    <w:rsid w:val="604C7149"/>
    <w:rsid w:val="604F4299"/>
    <w:rsid w:val="605E6E7C"/>
    <w:rsid w:val="6065645C"/>
    <w:rsid w:val="60675D31"/>
    <w:rsid w:val="606C02F9"/>
    <w:rsid w:val="606C1599"/>
    <w:rsid w:val="607448F1"/>
    <w:rsid w:val="60795A64"/>
    <w:rsid w:val="60932FCA"/>
    <w:rsid w:val="60956D42"/>
    <w:rsid w:val="609B59DA"/>
    <w:rsid w:val="609C4919"/>
    <w:rsid w:val="60C452CD"/>
    <w:rsid w:val="60CC2038"/>
    <w:rsid w:val="60D63C82"/>
    <w:rsid w:val="60D94755"/>
    <w:rsid w:val="60E86710"/>
    <w:rsid w:val="60E90E3C"/>
    <w:rsid w:val="60F35816"/>
    <w:rsid w:val="60FF065F"/>
    <w:rsid w:val="610E08A2"/>
    <w:rsid w:val="610E43FE"/>
    <w:rsid w:val="611062A8"/>
    <w:rsid w:val="61113EEE"/>
    <w:rsid w:val="612B4FB0"/>
    <w:rsid w:val="613227E3"/>
    <w:rsid w:val="613461A8"/>
    <w:rsid w:val="6138591F"/>
    <w:rsid w:val="613D1187"/>
    <w:rsid w:val="614147D4"/>
    <w:rsid w:val="614E0C9F"/>
    <w:rsid w:val="615C785F"/>
    <w:rsid w:val="615D0EE2"/>
    <w:rsid w:val="615D5386"/>
    <w:rsid w:val="61614E76"/>
    <w:rsid w:val="61642270"/>
    <w:rsid w:val="616616D2"/>
    <w:rsid w:val="61722BDF"/>
    <w:rsid w:val="61736957"/>
    <w:rsid w:val="617526CF"/>
    <w:rsid w:val="617821BF"/>
    <w:rsid w:val="617C3A5E"/>
    <w:rsid w:val="618134E1"/>
    <w:rsid w:val="618648DC"/>
    <w:rsid w:val="618943CD"/>
    <w:rsid w:val="619863BE"/>
    <w:rsid w:val="619C1A0A"/>
    <w:rsid w:val="61AD3C17"/>
    <w:rsid w:val="61AF6AD2"/>
    <w:rsid w:val="61B74140"/>
    <w:rsid w:val="61BE4076"/>
    <w:rsid w:val="61C15914"/>
    <w:rsid w:val="61C438B3"/>
    <w:rsid w:val="61C471B3"/>
    <w:rsid w:val="61CB22EF"/>
    <w:rsid w:val="61CB6793"/>
    <w:rsid w:val="61CE1DDF"/>
    <w:rsid w:val="61F23D20"/>
    <w:rsid w:val="61F335F4"/>
    <w:rsid w:val="61F53810"/>
    <w:rsid w:val="61F96E5C"/>
    <w:rsid w:val="62031A89"/>
    <w:rsid w:val="620852F1"/>
    <w:rsid w:val="620B6B90"/>
    <w:rsid w:val="6220088D"/>
    <w:rsid w:val="622F287E"/>
    <w:rsid w:val="6236479E"/>
    <w:rsid w:val="624309B2"/>
    <w:rsid w:val="624C78D4"/>
    <w:rsid w:val="62522A10"/>
    <w:rsid w:val="625642AF"/>
    <w:rsid w:val="625E7607"/>
    <w:rsid w:val="62683FE2"/>
    <w:rsid w:val="626B762E"/>
    <w:rsid w:val="62747537"/>
    <w:rsid w:val="6280757E"/>
    <w:rsid w:val="62830E1C"/>
    <w:rsid w:val="628C318D"/>
    <w:rsid w:val="62966DA1"/>
    <w:rsid w:val="629B6165"/>
    <w:rsid w:val="629E620F"/>
    <w:rsid w:val="62A468BF"/>
    <w:rsid w:val="62AA45FB"/>
    <w:rsid w:val="62AC3ECF"/>
    <w:rsid w:val="62BF00A6"/>
    <w:rsid w:val="62C51434"/>
    <w:rsid w:val="62CC27C3"/>
    <w:rsid w:val="62D84CC4"/>
    <w:rsid w:val="62D96C8E"/>
    <w:rsid w:val="62DC3850"/>
    <w:rsid w:val="62DD052C"/>
    <w:rsid w:val="62DF24F6"/>
    <w:rsid w:val="62E713AB"/>
    <w:rsid w:val="62EA0E9B"/>
    <w:rsid w:val="63021D41"/>
    <w:rsid w:val="63035AB9"/>
    <w:rsid w:val="63091321"/>
    <w:rsid w:val="631416F0"/>
    <w:rsid w:val="631B1054"/>
    <w:rsid w:val="63302D52"/>
    <w:rsid w:val="633118E1"/>
    <w:rsid w:val="63334D89"/>
    <w:rsid w:val="633B34A5"/>
    <w:rsid w:val="633F11E7"/>
    <w:rsid w:val="63414F5F"/>
    <w:rsid w:val="63462575"/>
    <w:rsid w:val="63464323"/>
    <w:rsid w:val="634E31D8"/>
    <w:rsid w:val="63546B83"/>
    <w:rsid w:val="636522D0"/>
    <w:rsid w:val="63674FF9"/>
    <w:rsid w:val="636A0DA9"/>
    <w:rsid w:val="63715118"/>
    <w:rsid w:val="63750765"/>
    <w:rsid w:val="637A221F"/>
    <w:rsid w:val="637C5F97"/>
    <w:rsid w:val="638135AD"/>
    <w:rsid w:val="63822E81"/>
    <w:rsid w:val="63864720"/>
    <w:rsid w:val="639037F0"/>
    <w:rsid w:val="639332E1"/>
    <w:rsid w:val="6393508F"/>
    <w:rsid w:val="63A1155A"/>
    <w:rsid w:val="63A827D3"/>
    <w:rsid w:val="63B219B9"/>
    <w:rsid w:val="63B868A3"/>
    <w:rsid w:val="63BC69D2"/>
    <w:rsid w:val="63C96D02"/>
    <w:rsid w:val="63D731CD"/>
    <w:rsid w:val="63D74F7B"/>
    <w:rsid w:val="63D86F45"/>
    <w:rsid w:val="63DD630A"/>
    <w:rsid w:val="63F62CF2"/>
    <w:rsid w:val="640210A3"/>
    <w:rsid w:val="64030466"/>
    <w:rsid w:val="64032214"/>
    <w:rsid w:val="640F3F59"/>
    <w:rsid w:val="640F6E0B"/>
    <w:rsid w:val="6416019A"/>
    <w:rsid w:val="64184044"/>
    <w:rsid w:val="64202DC6"/>
    <w:rsid w:val="64234664"/>
    <w:rsid w:val="64281C7B"/>
    <w:rsid w:val="6429796D"/>
    <w:rsid w:val="643423CE"/>
    <w:rsid w:val="643C1282"/>
    <w:rsid w:val="64470914"/>
    <w:rsid w:val="644D16E1"/>
    <w:rsid w:val="64552344"/>
    <w:rsid w:val="645760BC"/>
    <w:rsid w:val="645B3DFE"/>
    <w:rsid w:val="64613801"/>
    <w:rsid w:val="646627A3"/>
    <w:rsid w:val="64664551"/>
    <w:rsid w:val="646938B5"/>
    <w:rsid w:val="646B7DB9"/>
    <w:rsid w:val="646D58E0"/>
    <w:rsid w:val="647153D0"/>
    <w:rsid w:val="64882719"/>
    <w:rsid w:val="648D1ADE"/>
    <w:rsid w:val="64A21A2D"/>
    <w:rsid w:val="64A86918"/>
    <w:rsid w:val="64AC28AC"/>
    <w:rsid w:val="64B74DAD"/>
    <w:rsid w:val="64CD45D0"/>
    <w:rsid w:val="64D70FAB"/>
    <w:rsid w:val="64D94D23"/>
    <w:rsid w:val="64E55F38"/>
    <w:rsid w:val="64E75692"/>
    <w:rsid w:val="64EF4547"/>
    <w:rsid w:val="64F93617"/>
    <w:rsid w:val="64FB2EEB"/>
    <w:rsid w:val="64FD6872"/>
    <w:rsid w:val="650A75D2"/>
    <w:rsid w:val="650C50F9"/>
    <w:rsid w:val="651814B1"/>
    <w:rsid w:val="651D0FA7"/>
    <w:rsid w:val="651E21A6"/>
    <w:rsid w:val="65206DF6"/>
    <w:rsid w:val="65242442"/>
    <w:rsid w:val="652E1513"/>
    <w:rsid w:val="652F0DE7"/>
    <w:rsid w:val="6535464F"/>
    <w:rsid w:val="653B778C"/>
    <w:rsid w:val="65424FBE"/>
    <w:rsid w:val="654900FB"/>
    <w:rsid w:val="654E5711"/>
    <w:rsid w:val="65566374"/>
    <w:rsid w:val="655B1BDC"/>
    <w:rsid w:val="655E218B"/>
    <w:rsid w:val="655F16CC"/>
    <w:rsid w:val="656071F2"/>
    <w:rsid w:val="656211BC"/>
    <w:rsid w:val="65644F35"/>
    <w:rsid w:val="65764C68"/>
    <w:rsid w:val="65836819"/>
    <w:rsid w:val="65913850"/>
    <w:rsid w:val="659A6BA8"/>
    <w:rsid w:val="65A2780B"/>
    <w:rsid w:val="65A73073"/>
    <w:rsid w:val="65A90B99"/>
    <w:rsid w:val="65B55790"/>
    <w:rsid w:val="65B85280"/>
    <w:rsid w:val="65C74423"/>
    <w:rsid w:val="65D2213C"/>
    <w:rsid w:val="65D73958"/>
    <w:rsid w:val="65DC2D1D"/>
    <w:rsid w:val="65DF6369"/>
    <w:rsid w:val="65E816C2"/>
    <w:rsid w:val="65EB7404"/>
    <w:rsid w:val="65F272C5"/>
    <w:rsid w:val="65FA31A3"/>
    <w:rsid w:val="660B715E"/>
    <w:rsid w:val="66134265"/>
    <w:rsid w:val="66157FDD"/>
    <w:rsid w:val="66291CDA"/>
    <w:rsid w:val="662B5A52"/>
    <w:rsid w:val="66304E17"/>
    <w:rsid w:val="6636072A"/>
    <w:rsid w:val="66660838"/>
    <w:rsid w:val="66794A10"/>
    <w:rsid w:val="667E3DD4"/>
    <w:rsid w:val="6683763C"/>
    <w:rsid w:val="668F4233"/>
    <w:rsid w:val="669E4476"/>
    <w:rsid w:val="66AA23AA"/>
    <w:rsid w:val="66AA2E1B"/>
    <w:rsid w:val="66AC26B7"/>
    <w:rsid w:val="66AF3F8D"/>
    <w:rsid w:val="66B27F22"/>
    <w:rsid w:val="66D02156"/>
    <w:rsid w:val="66D32C46"/>
    <w:rsid w:val="66D71736"/>
    <w:rsid w:val="66E803CB"/>
    <w:rsid w:val="66ED0F5A"/>
    <w:rsid w:val="66F10A4A"/>
    <w:rsid w:val="66F77C12"/>
    <w:rsid w:val="66F81DD8"/>
    <w:rsid w:val="670A1B0C"/>
    <w:rsid w:val="670C13E0"/>
    <w:rsid w:val="670F2C7E"/>
    <w:rsid w:val="67185FD7"/>
    <w:rsid w:val="671C06A7"/>
    <w:rsid w:val="671E7365"/>
    <w:rsid w:val="67220C03"/>
    <w:rsid w:val="672A6068"/>
    <w:rsid w:val="674768BC"/>
    <w:rsid w:val="67524278"/>
    <w:rsid w:val="6753700F"/>
    <w:rsid w:val="675E7762"/>
    <w:rsid w:val="6764121C"/>
    <w:rsid w:val="67656598"/>
    <w:rsid w:val="67670D0C"/>
    <w:rsid w:val="67674868"/>
    <w:rsid w:val="676A4358"/>
    <w:rsid w:val="67772E48"/>
    <w:rsid w:val="67774FB7"/>
    <w:rsid w:val="67A41618"/>
    <w:rsid w:val="67AC2BC3"/>
    <w:rsid w:val="67B83316"/>
    <w:rsid w:val="67B850C4"/>
    <w:rsid w:val="67B96046"/>
    <w:rsid w:val="67BF28F6"/>
    <w:rsid w:val="67C021CA"/>
    <w:rsid w:val="67C9107F"/>
    <w:rsid w:val="67CA0C9F"/>
    <w:rsid w:val="67CD312D"/>
    <w:rsid w:val="67D77C40"/>
    <w:rsid w:val="67D839B8"/>
    <w:rsid w:val="67D85766"/>
    <w:rsid w:val="67E0081C"/>
    <w:rsid w:val="67E22141"/>
    <w:rsid w:val="67E81E4D"/>
    <w:rsid w:val="67EB36EB"/>
    <w:rsid w:val="67F87BB6"/>
    <w:rsid w:val="68021F70"/>
    <w:rsid w:val="68060525"/>
    <w:rsid w:val="680B78E9"/>
    <w:rsid w:val="68104F00"/>
    <w:rsid w:val="68112A26"/>
    <w:rsid w:val="6813679E"/>
    <w:rsid w:val="6817003C"/>
    <w:rsid w:val="681A6287"/>
    <w:rsid w:val="681E0008"/>
    <w:rsid w:val="68201BAA"/>
    <w:rsid w:val="6828049B"/>
    <w:rsid w:val="6837248C"/>
    <w:rsid w:val="68420E31"/>
    <w:rsid w:val="684A1DDE"/>
    <w:rsid w:val="684F3C7A"/>
    <w:rsid w:val="68564744"/>
    <w:rsid w:val="68572B2F"/>
    <w:rsid w:val="685F7C35"/>
    <w:rsid w:val="686F60CA"/>
    <w:rsid w:val="68882CE8"/>
    <w:rsid w:val="688B4586"/>
    <w:rsid w:val="688F22C8"/>
    <w:rsid w:val="68923B67"/>
    <w:rsid w:val="689C6793"/>
    <w:rsid w:val="689E250C"/>
    <w:rsid w:val="68A51AEC"/>
    <w:rsid w:val="68AA7102"/>
    <w:rsid w:val="68B6208E"/>
    <w:rsid w:val="68C33D20"/>
    <w:rsid w:val="68D128E1"/>
    <w:rsid w:val="68D55C3E"/>
    <w:rsid w:val="68D67EF7"/>
    <w:rsid w:val="68D979E8"/>
    <w:rsid w:val="68E1689C"/>
    <w:rsid w:val="68E63EB3"/>
    <w:rsid w:val="68F44821"/>
    <w:rsid w:val="68F91E38"/>
    <w:rsid w:val="68FB795E"/>
    <w:rsid w:val="690305C1"/>
    <w:rsid w:val="69032500"/>
    <w:rsid w:val="69073BF1"/>
    <w:rsid w:val="69125994"/>
    <w:rsid w:val="692A643A"/>
    <w:rsid w:val="693F458D"/>
    <w:rsid w:val="69403D29"/>
    <w:rsid w:val="6942558D"/>
    <w:rsid w:val="694330B3"/>
    <w:rsid w:val="69434FB5"/>
    <w:rsid w:val="694646A7"/>
    <w:rsid w:val="694B7883"/>
    <w:rsid w:val="694C1F68"/>
    <w:rsid w:val="69501555"/>
    <w:rsid w:val="695B03FD"/>
    <w:rsid w:val="69690D6B"/>
    <w:rsid w:val="696C260A"/>
    <w:rsid w:val="69717C20"/>
    <w:rsid w:val="69782D5D"/>
    <w:rsid w:val="697E40EB"/>
    <w:rsid w:val="697F233D"/>
    <w:rsid w:val="69807E63"/>
    <w:rsid w:val="698A2A90"/>
    <w:rsid w:val="69913E1E"/>
    <w:rsid w:val="69A43B52"/>
    <w:rsid w:val="69A55B1C"/>
    <w:rsid w:val="69AF0748"/>
    <w:rsid w:val="69C266CE"/>
    <w:rsid w:val="69C51D1A"/>
    <w:rsid w:val="69C57079"/>
    <w:rsid w:val="69C77840"/>
    <w:rsid w:val="69C935B8"/>
    <w:rsid w:val="69CB37D4"/>
    <w:rsid w:val="69D72179"/>
    <w:rsid w:val="69E2224C"/>
    <w:rsid w:val="69E403F2"/>
    <w:rsid w:val="69E623BC"/>
    <w:rsid w:val="69F34AD9"/>
    <w:rsid w:val="69F745C9"/>
    <w:rsid w:val="6A0976B4"/>
    <w:rsid w:val="6A1011E7"/>
    <w:rsid w:val="6A1231B1"/>
    <w:rsid w:val="6A1D56B2"/>
    <w:rsid w:val="6A1F767C"/>
    <w:rsid w:val="6A2151A2"/>
    <w:rsid w:val="6A2353BE"/>
    <w:rsid w:val="6A2904FB"/>
    <w:rsid w:val="6A294057"/>
    <w:rsid w:val="6A3550F2"/>
    <w:rsid w:val="6A357817"/>
    <w:rsid w:val="6A386990"/>
    <w:rsid w:val="6A537326"/>
    <w:rsid w:val="6A5437CA"/>
    <w:rsid w:val="6A5D00A8"/>
    <w:rsid w:val="6A5F25FB"/>
    <w:rsid w:val="6A696B49"/>
    <w:rsid w:val="6A721EA2"/>
    <w:rsid w:val="6A86594D"/>
    <w:rsid w:val="6A8B6AC0"/>
    <w:rsid w:val="6A900BCC"/>
    <w:rsid w:val="6A9260A0"/>
    <w:rsid w:val="6A9E4A45"/>
    <w:rsid w:val="6AA47B81"/>
    <w:rsid w:val="6AA80BCD"/>
    <w:rsid w:val="6AA85A65"/>
    <w:rsid w:val="6AB97AD1"/>
    <w:rsid w:val="6ABC311D"/>
    <w:rsid w:val="6ABF49BB"/>
    <w:rsid w:val="6AC10733"/>
    <w:rsid w:val="6AC344AB"/>
    <w:rsid w:val="6AC81AC2"/>
    <w:rsid w:val="6AD06BC8"/>
    <w:rsid w:val="6AD247AE"/>
    <w:rsid w:val="6AE52674"/>
    <w:rsid w:val="6AF723A7"/>
    <w:rsid w:val="6AFB5C9A"/>
    <w:rsid w:val="6AFE54E3"/>
    <w:rsid w:val="6B07083C"/>
    <w:rsid w:val="6B0F1276"/>
    <w:rsid w:val="6B1116BB"/>
    <w:rsid w:val="6B1446D9"/>
    <w:rsid w:val="6B1765A5"/>
    <w:rsid w:val="6B1971B3"/>
    <w:rsid w:val="6B1B6095"/>
    <w:rsid w:val="6B1F13DA"/>
    <w:rsid w:val="6B225676"/>
    <w:rsid w:val="6B5670CE"/>
    <w:rsid w:val="6B5E2426"/>
    <w:rsid w:val="6B5E41D4"/>
    <w:rsid w:val="6B6537B4"/>
    <w:rsid w:val="6B6C4644"/>
    <w:rsid w:val="6B6C4B43"/>
    <w:rsid w:val="6B8A4FC9"/>
    <w:rsid w:val="6B8D6867"/>
    <w:rsid w:val="6B9B5D69"/>
    <w:rsid w:val="6B9F06C2"/>
    <w:rsid w:val="6BA442DD"/>
    <w:rsid w:val="6BB24174"/>
    <w:rsid w:val="6BB838E4"/>
    <w:rsid w:val="6BC229B5"/>
    <w:rsid w:val="6BC62B46"/>
    <w:rsid w:val="6BC72D53"/>
    <w:rsid w:val="6BC77FCB"/>
    <w:rsid w:val="6BD10E49"/>
    <w:rsid w:val="6BD61FBC"/>
    <w:rsid w:val="6BDA7CFF"/>
    <w:rsid w:val="6BDD77EF"/>
    <w:rsid w:val="6BE0108D"/>
    <w:rsid w:val="6BE20961"/>
    <w:rsid w:val="6BE648F5"/>
    <w:rsid w:val="6BE7241B"/>
    <w:rsid w:val="6BE75F78"/>
    <w:rsid w:val="6BE96194"/>
    <w:rsid w:val="6BE974AA"/>
    <w:rsid w:val="6BEE37AA"/>
    <w:rsid w:val="6BEE5558"/>
    <w:rsid w:val="6BF15048"/>
    <w:rsid w:val="6BF6440D"/>
    <w:rsid w:val="6C0B435C"/>
    <w:rsid w:val="6C0F54CE"/>
    <w:rsid w:val="6C1B13BE"/>
    <w:rsid w:val="6C21592D"/>
    <w:rsid w:val="6C29246F"/>
    <w:rsid w:val="6C292A34"/>
    <w:rsid w:val="6C39522C"/>
    <w:rsid w:val="6C3D64DF"/>
    <w:rsid w:val="6C450EF0"/>
    <w:rsid w:val="6C472EBA"/>
    <w:rsid w:val="6C4C04D0"/>
    <w:rsid w:val="6C517895"/>
    <w:rsid w:val="6C586E75"/>
    <w:rsid w:val="6C5B167F"/>
    <w:rsid w:val="6C6D0B73"/>
    <w:rsid w:val="6C6E6699"/>
    <w:rsid w:val="6C705F6D"/>
    <w:rsid w:val="6C757A27"/>
    <w:rsid w:val="6C7672FB"/>
    <w:rsid w:val="6C7A0F7D"/>
    <w:rsid w:val="6C7C2B64"/>
    <w:rsid w:val="6C830396"/>
    <w:rsid w:val="6C8C5C7D"/>
    <w:rsid w:val="6C8E7A7B"/>
    <w:rsid w:val="6C9205D9"/>
    <w:rsid w:val="6CA1081C"/>
    <w:rsid w:val="6CA125CA"/>
    <w:rsid w:val="6CA12FC4"/>
    <w:rsid w:val="6CA200F0"/>
    <w:rsid w:val="6CA9588D"/>
    <w:rsid w:val="6CAD0F6F"/>
    <w:rsid w:val="6CB00A5F"/>
    <w:rsid w:val="6CBF0CA2"/>
    <w:rsid w:val="6CC4275D"/>
    <w:rsid w:val="6CC4450B"/>
    <w:rsid w:val="6CCB5899"/>
    <w:rsid w:val="6CD24E8A"/>
    <w:rsid w:val="6CE1330F"/>
    <w:rsid w:val="6CE27825"/>
    <w:rsid w:val="6CED5810"/>
    <w:rsid w:val="6CF070AE"/>
    <w:rsid w:val="6CF21078"/>
    <w:rsid w:val="6CFC1EF7"/>
    <w:rsid w:val="6D0509B6"/>
    <w:rsid w:val="6D090170"/>
    <w:rsid w:val="6D0D7C60"/>
    <w:rsid w:val="6D0F5972"/>
    <w:rsid w:val="6D147240"/>
    <w:rsid w:val="6D1C60F5"/>
    <w:rsid w:val="6D35445F"/>
    <w:rsid w:val="6D434C31"/>
    <w:rsid w:val="6D437B25"/>
    <w:rsid w:val="6D4C4C2C"/>
    <w:rsid w:val="6D54588F"/>
    <w:rsid w:val="6D561607"/>
    <w:rsid w:val="6D5720F4"/>
    <w:rsid w:val="6D5E670D"/>
    <w:rsid w:val="6D723F67"/>
    <w:rsid w:val="6D7970A3"/>
    <w:rsid w:val="6D804BC7"/>
    <w:rsid w:val="6D82326E"/>
    <w:rsid w:val="6D855A48"/>
    <w:rsid w:val="6D8617C0"/>
    <w:rsid w:val="6D875C64"/>
    <w:rsid w:val="6D88378A"/>
    <w:rsid w:val="6D926B4C"/>
    <w:rsid w:val="6D94212F"/>
    <w:rsid w:val="6D9640F9"/>
    <w:rsid w:val="6D9C0C25"/>
    <w:rsid w:val="6D9E6B0A"/>
    <w:rsid w:val="6DA93E2C"/>
    <w:rsid w:val="6DAD4F9F"/>
    <w:rsid w:val="6DB74CDB"/>
    <w:rsid w:val="6DB91B96"/>
    <w:rsid w:val="6DC65E57"/>
    <w:rsid w:val="6DC748C4"/>
    <w:rsid w:val="6DC95FB0"/>
    <w:rsid w:val="6DCC7B1B"/>
    <w:rsid w:val="6DCE3893"/>
    <w:rsid w:val="6DD8026E"/>
    <w:rsid w:val="6DD97761"/>
    <w:rsid w:val="6DDB5FB0"/>
    <w:rsid w:val="6DEA61F3"/>
    <w:rsid w:val="6DF17581"/>
    <w:rsid w:val="6DF66946"/>
    <w:rsid w:val="6DFD7CD4"/>
    <w:rsid w:val="6DFF1C9E"/>
    <w:rsid w:val="6E0E0133"/>
    <w:rsid w:val="6E1953E3"/>
    <w:rsid w:val="6E1D2124"/>
    <w:rsid w:val="6E25722B"/>
    <w:rsid w:val="6E294FFC"/>
    <w:rsid w:val="6E2C680B"/>
    <w:rsid w:val="6E3336F6"/>
    <w:rsid w:val="6E3A0F28"/>
    <w:rsid w:val="6E3D1D91"/>
    <w:rsid w:val="6E3F719F"/>
    <w:rsid w:val="6E4476B1"/>
    <w:rsid w:val="6E58315D"/>
    <w:rsid w:val="6E685731"/>
    <w:rsid w:val="6E706050"/>
    <w:rsid w:val="6E7066F8"/>
    <w:rsid w:val="6E751F61"/>
    <w:rsid w:val="6E891568"/>
    <w:rsid w:val="6E91041D"/>
    <w:rsid w:val="6E9248C1"/>
    <w:rsid w:val="6E9A3775"/>
    <w:rsid w:val="6E9A5523"/>
    <w:rsid w:val="6EA14B04"/>
    <w:rsid w:val="6EA2262A"/>
    <w:rsid w:val="6EA6211A"/>
    <w:rsid w:val="6EA97E5C"/>
    <w:rsid w:val="6EAB5982"/>
    <w:rsid w:val="6EAD443B"/>
    <w:rsid w:val="6EB505AF"/>
    <w:rsid w:val="6EB81E4D"/>
    <w:rsid w:val="6EB83BFB"/>
    <w:rsid w:val="6EBB5C2A"/>
    <w:rsid w:val="6EBD1212"/>
    <w:rsid w:val="6EC95E08"/>
    <w:rsid w:val="6ED70525"/>
    <w:rsid w:val="6ED76777"/>
    <w:rsid w:val="6EDA3B7F"/>
    <w:rsid w:val="6EF32E85"/>
    <w:rsid w:val="6F0357BE"/>
    <w:rsid w:val="6F0D2199"/>
    <w:rsid w:val="6F1277AF"/>
    <w:rsid w:val="6F175262"/>
    <w:rsid w:val="6F1928EC"/>
    <w:rsid w:val="6F2810DC"/>
    <w:rsid w:val="6F2B261F"/>
    <w:rsid w:val="6F323E26"/>
    <w:rsid w:val="6F392F8E"/>
    <w:rsid w:val="6F4D4C8B"/>
    <w:rsid w:val="6F563B40"/>
    <w:rsid w:val="6F5E29F5"/>
    <w:rsid w:val="6F60051B"/>
    <w:rsid w:val="6F6D70DC"/>
    <w:rsid w:val="6F6F69B0"/>
    <w:rsid w:val="6F745D74"/>
    <w:rsid w:val="6F746256"/>
    <w:rsid w:val="6F773AB6"/>
    <w:rsid w:val="6F7915DC"/>
    <w:rsid w:val="6F7C2E7B"/>
    <w:rsid w:val="6F7E4E45"/>
    <w:rsid w:val="6F8F0E00"/>
    <w:rsid w:val="6F9208F0"/>
    <w:rsid w:val="6F977CB5"/>
    <w:rsid w:val="6FA45733"/>
    <w:rsid w:val="6FAD07EF"/>
    <w:rsid w:val="6FB273FA"/>
    <w:rsid w:val="6FB35C1F"/>
    <w:rsid w:val="6FB62831"/>
    <w:rsid w:val="6FBE3493"/>
    <w:rsid w:val="6FC0545D"/>
    <w:rsid w:val="6FD42CB7"/>
    <w:rsid w:val="6FD9621C"/>
    <w:rsid w:val="6FDD4DE6"/>
    <w:rsid w:val="6FE05148"/>
    <w:rsid w:val="6FE078AE"/>
    <w:rsid w:val="6FE3114C"/>
    <w:rsid w:val="6FE80510"/>
    <w:rsid w:val="6FEA072C"/>
    <w:rsid w:val="700370F8"/>
    <w:rsid w:val="700D7F77"/>
    <w:rsid w:val="70147557"/>
    <w:rsid w:val="701B08E6"/>
    <w:rsid w:val="701B2694"/>
    <w:rsid w:val="701D640C"/>
    <w:rsid w:val="70291255"/>
    <w:rsid w:val="704936A5"/>
    <w:rsid w:val="705067E1"/>
    <w:rsid w:val="707324D0"/>
    <w:rsid w:val="70761FC0"/>
    <w:rsid w:val="707D334E"/>
    <w:rsid w:val="70811A6A"/>
    <w:rsid w:val="70845A1E"/>
    <w:rsid w:val="708B7819"/>
    <w:rsid w:val="708C3591"/>
    <w:rsid w:val="70A36A89"/>
    <w:rsid w:val="70AE68F8"/>
    <w:rsid w:val="70B07280"/>
    <w:rsid w:val="70B12FF8"/>
    <w:rsid w:val="70BD7BEF"/>
    <w:rsid w:val="70C525FF"/>
    <w:rsid w:val="70CC0E40"/>
    <w:rsid w:val="70CD6D9A"/>
    <w:rsid w:val="70D311C0"/>
    <w:rsid w:val="70D34D1C"/>
    <w:rsid w:val="70D53633"/>
    <w:rsid w:val="70D6480D"/>
    <w:rsid w:val="70FF5B11"/>
    <w:rsid w:val="71080E6A"/>
    <w:rsid w:val="710B095A"/>
    <w:rsid w:val="710B2708"/>
    <w:rsid w:val="7113780F"/>
    <w:rsid w:val="711C66C3"/>
    <w:rsid w:val="71267542"/>
    <w:rsid w:val="712E63F7"/>
    <w:rsid w:val="713E2ADE"/>
    <w:rsid w:val="714523F4"/>
    <w:rsid w:val="714A1482"/>
    <w:rsid w:val="714F6A99"/>
    <w:rsid w:val="715045BF"/>
    <w:rsid w:val="715220E5"/>
    <w:rsid w:val="71566079"/>
    <w:rsid w:val="71573B9F"/>
    <w:rsid w:val="715B068A"/>
    <w:rsid w:val="715B3690"/>
    <w:rsid w:val="715C0417"/>
    <w:rsid w:val="71614A1E"/>
    <w:rsid w:val="7164006A"/>
    <w:rsid w:val="716562BC"/>
    <w:rsid w:val="716B13F9"/>
    <w:rsid w:val="71775AB0"/>
    <w:rsid w:val="717C3606"/>
    <w:rsid w:val="717D5481"/>
    <w:rsid w:val="718030F6"/>
    <w:rsid w:val="71846805"/>
    <w:rsid w:val="719170B1"/>
    <w:rsid w:val="71950224"/>
    <w:rsid w:val="71A62431"/>
    <w:rsid w:val="71A9445F"/>
    <w:rsid w:val="71AD1A11"/>
    <w:rsid w:val="71B0505E"/>
    <w:rsid w:val="71B27028"/>
    <w:rsid w:val="71B72890"/>
    <w:rsid w:val="71B903B6"/>
    <w:rsid w:val="71C254BD"/>
    <w:rsid w:val="71C31235"/>
    <w:rsid w:val="71C70E40"/>
    <w:rsid w:val="71D60F68"/>
    <w:rsid w:val="71EC3F35"/>
    <w:rsid w:val="72005FE5"/>
    <w:rsid w:val="720930EC"/>
    <w:rsid w:val="720E5EB3"/>
    <w:rsid w:val="7214383E"/>
    <w:rsid w:val="72181581"/>
    <w:rsid w:val="721D26F3"/>
    <w:rsid w:val="721F290F"/>
    <w:rsid w:val="72203FCE"/>
    <w:rsid w:val="722A4E10"/>
    <w:rsid w:val="722D2858"/>
    <w:rsid w:val="72473C14"/>
    <w:rsid w:val="724E6D50"/>
    <w:rsid w:val="72514A93"/>
    <w:rsid w:val="7255185D"/>
    <w:rsid w:val="72587BCF"/>
    <w:rsid w:val="72640322"/>
    <w:rsid w:val="72646574"/>
    <w:rsid w:val="72655E48"/>
    <w:rsid w:val="726C71D7"/>
    <w:rsid w:val="72783DCD"/>
    <w:rsid w:val="727B38BE"/>
    <w:rsid w:val="728A3B01"/>
    <w:rsid w:val="728C7879"/>
    <w:rsid w:val="729823C8"/>
    <w:rsid w:val="72987FCC"/>
    <w:rsid w:val="72A252EE"/>
    <w:rsid w:val="72AB5F51"/>
    <w:rsid w:val="72B03567"/>
    <w:rsid w:val="72BA6194"/>
    <w:rsid w:val="72BD40F8"/>
    <w:rsid w:val="72C9287B"/>
    <w:rsid w:val="72CD1B96"/>
    <w:rsid w:val="72D66D46"/>
    <w:rsid w:val="72DB610A"/>
    <w:rsid w:val="72DC49F7"/>
    <w:rsid w:val="72E02027"/>
    <w:rsid w:val="72E232C9"/>
    <w:rsid w:val="72E510F1"/>
    <w:rsid w:val="72E54506"/>
    <w:rsid w:val="72E651DB"/>
    <w:rsid w:val="72E90827"/>
    <w:rsid w:val="72EB459F"/>
    <w:rsid w:val="72F0605A"/>
    <w:rsid w:val="72F22AAA"/>
    <w:rsid w:val="72F378F8"/>
    <w:rsid w:val="72F71196"/>
    <w:rsid w:val="730218E9"/>
    <w:rsid w:val="73137F9A"/>
    <w:rsid w:val="732C59B5"/>
    <w:rsid w:val="733A1083"/>
    <w:rsid w:val="733C4DFB"/>
    <w:rsid w:val="73463ECB"/>
    <w:rsid w:val="734819F2"/>
    <w:rsid w:val="73487C44"/>
    <w:rsid w:val="735008A6"/>
    <w:rsid w:val="73571C35"/>
    <w:rsid w:val="735841A0"/>
    <w:rsid w:val="73591E51"/>
    <w:rsid w:val="735A7977"/>
    <w:rsid w:val="735C36EF"/>
    <w:rsid w:val="735F02DE"/>
    <w:rsid w:val="73682094"/>
    <w:rsid w:val="736D76AA"/>
    <w:rsid w:val="737722D7"/>
    <w:rsid w:val="73886292"/>
    <w:rsid w:val="738A025C"/>
    <w:rsid w:val="73993FFB"/>
    <w:rsid w:val="73A07989"/>
    <w:rsid w:val="73A806E2"/>
    <w:rsid w:val="73AF1A71"/>
    <w:rsid w:val="73B01345"/>
    <w:rsid w:val="73B54BAD"/>
    <w:rsid w:val="73BC1D5A"/>
    <w:rsid w:val="73BE3A62"/>
    <w:rsid w:val="73C117A4"/>
    <w:rsid w:val="73C21C72"/>
    <w:rsid w:val="73C44DF0"/>
    <w:rsid w:val="73C51294"/>
    <w:rsid w:val="73C53042"/>
    <w:rsid w:val="73CC2623"/>
    <w:rsid w:val="73CD639B"/>
    <w:rsid w:val="73D03795"/>
    <w:rsid w:val="73D17C39"/>
    <w:rsid w:val="73DB2866"/>
    <w:rsid w:val="73DB6A0B"/>
    <w:rsid w:val="73DE2356"/>
    <w:rsid w:val="73E0285F"/>
    <w:rsid w:val="73E55492"/>
    <w:rsid w:val="73F531FC"/>
    <w:rsid w:val="740873D3"/>
    <w:rsid w:val="740F1723"/>
    <w:rsid w:val="743E2DF5"/>
    <w:rsid w:val="74455F31"/>
    <w:rsid w:val="744A79EB"/>
    <w:rsid w:val="745240E9"/>
    <w:rsid w:val="745368A0"/>
    <w:rsid w:val="745D771F"/>
    <w:rsid w:val="746960C4"/>
    <w:rsid w:val="747131CA"/>
    <w:rsid w:val="74716D26"/>
    <w:rsid w:val="747345B0"/>
    <w:rsid w:val="7487479C"/>
    <w:rsid w:val="74934EEE"/>
    <w:rsid w:val="74A0585D"/>
    <w:rsid w:val="74AF406B"/>
    <w:rsid w:val="74B11819"/>
    <w:rsid w:val="74B80DF9"/>
    <w:rsid w:val="74BF1D75"/>
    <w:rsid w:val="74C0380A"/>
    <w:rsid w:val="74C07CAE"/>
    <w:rsid w:val="74C652C4"/>
    <w:rsid w:val="74D376AD"/>
    <w:rsid w:val="74D379E1"/>
    <w:rsid w:val="74D65B42"/>
    <w:rsid w:val="74E514C2"/>
    <w:rsid w:val="74E67714"/>
    <w:rsid w:val="74F17E67"/>
    <w:rsid w:val="74F55BA9"/>
    <w:rsid w:val="74FA4F6E"/>
    <w:rsid w:val="74FB1732"/>
    <w:rsid w:val="74FF2614"/>
    <w:rsid w:val="75031BCE"/>
    <w:rsid w:val="751A116C"/>
    <w:rsid w:val="75295853"/>
    <w:rsid w:val="752A62F4"/>
    <w:rsid w:val="752B15CB"/>
    <w:rsid w:val="754149A9"/>
    <w:rsid w:val="75524DAA"/>
    <w:rsid w:val="75556648"/>
    <w:rsid w:val="75622B13"/>
    <w:rsid w:val="7564688B"/>
    <w:rsid w:val="757C5983"/>
    <w:rsid w:val="7588571E"/>
    <w:rsid w:val="758F1B5A"/>
    <w:rsid w:val="75952EE8"/>
    <w:rsid w:val="75AF3FAA"/>
    <w:rsid w:val="75B01AD0"/>
    <w:rsid w:val="75BC66C7"/>
    <w:rsid w:val="75BF3AC1"/>
    <w:rsid w:val="75C15A8B"/>
    <w:rsid w:val="75C31803"/>
    <w:rsid w:val="75C8506C"/>
    <w:rsid w:val="75D43A11"/>
    <w:rsid w:val="75E2743D"/>
    <w:rsid w:val="75E654F2"/>
    <w:rsid w:val="75EA4FE2"/>
    <w:rsid w:val="75ED5DAF"/>
    <w:rsid w:val="75F714AD"/>
    <w:rsid w:val="760360A4"/>
    <w:rsid w:val="760766C2"/>
    <w:rsid w:val="760D2A7F"/>
    <w:rsid w:val="760F39E4"/>
    <w:rsid w:val="7621652A"/>
    <w:rsid w:val="763C5112"/>
    <w:rsid w:val="763D571A"/>
    <w:rsid w:val="763D7808"/>
    <w:rsid w:val="76404C02"/>
    <w:rsid w:val="76465F91"/>
    <w:rsid w:val="764861AD"/>
    <w:rsid w:val="764E05FC"/>
    <w:rsid w:val="7657019E"/>
    <w:rsid w:val="76595CC4"/>
    <w:rsid w:val="765B7C8E"/>
    <w:rsid w:val="765E32DA"/>
    <w:rsid w:val="76870A83"/>
    <w:rsid w:val="76872831"/>
    <w:rsid w:val="768A2321"/>
    <w:rsid w:val="769D40DA"/>
    <w:rsid w:val="76A07D97"/>
    <w:rsid w:val="76A553AD"/>
    <w:rsid w:val="76A827A7"/>
    <w:rsid w:val="76B14208"/>
    <w:rsid w:val="76B24FDB"/>
    <w:rsid w:val="76BB697E"/>
    <w:rsid w:val="76C515AF"/>
    <w:rsid w:val="76C9109B"/>
    <w:rsid w:val="76C92E49"/>
    <w:rsid w:val="76CF5F86"/>
    <w:rsid w:val="76DD4B47"/>
    <w:rsid w:val="76DF08BF"/>
    <w:rsid w:val="76E45ED5"/>
    <w:rsid w:val="76EC468E"/>
    <w:rsid w:val="76F31C74"/>
    <w:rsid w:val="76F459ED"/>
    <w:rsid w:val="76F81981"/>
    <w:rsid w:val="76F93003"/>
    <w:rsid w:val="76FA74A7"/>
    <w:rsid w:val="77013F65"/>
    <w:rsid w:val="77106CCA"/>
    <w:rsid w:val="771147F0"/>
    <w:rsid w:val="7711659E"/>
    <w:rsid w:val="771816DB"/>
    <w:rsid w:val="7718792D"/>
    <w:rsid w:val="771C566F"/>
    <w:rsid w:val="772146F8"/>
    <w:rsid w:val="77242776"/>
    <w:rsid w:val="772E53A2"/>
    <w:rsid w:val="773A5AF5"/>
    <w:rsid w:val="773A78A3"/>
    <w:rsid w:val="773E5113"/>
    <w:rsid w:val="77536BB7"/>
    <w:rsid w:val="776112D4"/>
    <w:rsid w:val="77640DC4"/>
    <w:rsid w:val="77701517"/>
    <w:rsid w:val="77731007"/>
    <w:rsid w:val="77752FD1"/>
    <w:rsid w:val="777803CC"/>
    <w:rsid w:val="777D59E2"/>
    <w:rsid w:val="778C3E77"/>
    <w:rsid w:val="778E5E41"/>
    <w:rsid w:val="778F5FCB"/>
    <w:rsid w:val="779D7E32"/>
    <w:rsid w:val="779E42D6"/>
    <w:rsid w:val="77AD62C7"/>
    <w:rsid w:val="77B238DE"/>
    <w:rsid w:val="77B5121A"/>
    <w:rsid w:val="77B75398"/>
    <w:rsid w:val="77B77146"/>
    <w:rsid w:val="77B92EBE"/>
    <w:rsid w:val="77BA4E88"/>
    <w:rsid w:val="77BC650A"/>
    <w:rsid w:val="77C67389"/>
    <w:rsid w:val="77DE2925"/>
    <w:rsid w:val="77DF044B"/>
    <w:rsid w:val="77E07FF8"/>
    <w:rsid w:val="78006D3F"/>
    <w:rsid w:val="780305DD"/>
    <w:rsid w:val="78063C29"/>
    <w:rsid w:val="780F0D30"/>
    <w:rsid w:val="78177BE5"/>
    <w:rsid w:val="78196949"/>
    <w:rsid w:val="7822175F"/>
    <w:rsid w:val="782E20FF"/>
    <w:rsid w:val="7831514A"/>
    <w:rsid w:val="783562BD"/>
    <w:rsid w:val="783E7867"/>
    <w:rsid w:val="7840200B"/>
    <w:rsid w:val="78454752"/>
    <w:rsid w:val="7860333A"/>
    <w:rsid w:val="786077DD"/>
    <w:rsid w:val="7863107C"/>
    <w:rsid w:val="78670B6C"/>
    <w:rsid w:val="78727511"/>
    <w:rsid w:val="78751DDB"/>
    <w:rsid w:val="78767001"/>
    <w:rsid w:val="7883527A"/>
    <w:rsid w:val="78857244"/>
    <w:rsid w:val="788B412F"/>
    <w:rsid w:val="789B25C4"/>
    <w:rsid w:val="78A376CA"/>
    <w:rsid w:val="78AA2807"/>
    <w:rsid w:val="78AC32DF"/>
    <w:rsid w:val="78AF606F"/>
    <w:rsid w:val="78B10039"/>
    <w:rsid w:val="78B6564F"/>
    <w:rsid w:val="78B83176"/>
    <w:rsid w:val="78C935D5"/>
    <w:rsid w:val="78D46738"/>
    <w:rsid w:val="78D67AA0"/>
    <w:rsid w:val="78DD498A"/>
    <w:rsid w:val="78E977D3"/>
    <w:rsid w:val="78EF0B61"/>
    <w:rsid w:val="78EF7323"/>
    <w:rsid w:val="79075EAB"/>
    <w:rsid w:val="790939D1"/>
    <w:rsid w:val="79110AD8"/>
    <w:rsid w:val="792C5912"/>
    <w:rsid w:val="792C76C0"/>
    <w:rsid w:val="792E03F6"/>
    <w:rsid w:val="793B3DA7"/>
    <w:rsid w:val="793C4899"/>
    <w:rsid w:val="793F73F3"/>
    <w:rsid w:val="794A5D98"/>
    <w:rsid w:val="795409C4"/>
    <w:rsid w:val="79584959"/>
    <w:rsid w:val="795A247F"/>
    <w:rsid w:val="795D1F6F"/>
    <w:rsid w:val="7967694A"/>
    <w:rsid w:val="796E1A86"/>
    <w:rsid w:val="79725A1A"/>
    <w:rsid w:val="79752E15"/>
    <w:rsid w:val="797C23F5"/>
    <w:rsid w:val="797D7F1B"/>
    <w:rsid w:val="798C015E"/>
    <w:rsid w:val="799139C7"/>
    <w:rsid w:val="7997722F"/>
    <w:rsid w:val="79983E9C"/>
    <w:rsid w:val="79994C7F"/>
    <w:rsid w:val="79A27982"/>
    <w:rsid w:val="79AD1B9F"/>
    <w:rsid w:val="79AE4579"/>
    <w:rsid w:val="79B55907"/>
    <w:rsid w:val="79B85C40"/>
    <w:rsid w:val="79C45B4A"/>
    <w:rsid w:val="79C5301D"/>
    <w:rsid w:val="79C618C2"/>
    <w:rsid w:val="79C93160"/>
    <w:rsid w:val="79CB1383"/>
    <w:rsid w:val="79D21CEC"/>
    <w:rsid w:val="79F04B91"/>
    <w:rsid w:val="79FE72AE"/>
    <w:rsid w:val="7A122D59"/>
    <w:rsid w:val="7A1268B5"/>
    <w:rsid w:val="7A13262E"/>
    <w:rsid w:val="7A2B3E1B"/>
    <w:rsid w:val="7A2D7B93"/>
    <w:rsid w:val="7A347C72"/>
    <w:rsid w:val="7A380027"/>
    <w:rsid w:val="7A3E76AA"/>
    <w:rsid w:val="7A456C8B"/>
    <w:rsid w:val="7A543D79"/>
    <w:rsid w:val="7A552C46"/>
    <w:rsid w:val="7A603AC5"/>
    <w:rsid w:val="7A65732D"/>
    <w:rsid w:val="7A7237F8"/>
    <w:rsid w:val="7A7632E8"/>
    <w:rsid w:val="7A770E0E"/>
    <w:rsid w:val="7A7805F0"/>
    <w:rsid w:val="7A7C4677"/>
    <w:rsid w:val="7A8A6D94"/>
    <w:rsid w:val="7A8D3EAA"/>
    <w:rsid w:val="7AA53BCD"/>
    <w:rsid w:val="7AA5597C"/>
    <w:rsid w:val="7AA65250"/>
    <w:rsid w:val="7AC676A0"/>
    <w:rsid w:val="7ACE71B9"/>
    <w:rsid w:val="7ACF0C4A"/>
    <w:rsid w:val="7AD24297"/>
    <w:rsid w:val="7AD62378"/>
    <w:rsid w:val="7AD63D87"/>
    <w:rsid w:val="7AE77D42"/>
    <w:rsid w:val="7AF52D7F"/>
    <w:rsid w:val="7AF85A78"/>
    <w:rsid w:val="7B0501C8"/>
    <w:rsid w:val="7B072192"/>
    <w:rsid w:val="7B073F40"/>
    <w:rsid w:val="7B0E2A9D"/>
    <w:rsid w:val="7B113011"/>
    <w:rsid w:val="7B1239DB"/>
    <w:rsid w:val="7B272834"/>
    <w:rsid w:val="7B2745E3"/>
    <w:rsid w:val="7B2E5971"/>
    <w:rsid w:val="7B346CFF"/>
    <w:rsid w:val="7B3B1E3C"/>
    <w:rsid w:val="7B3D3E06"/>
    <w:rsid w:val="7B5573A2"/>
    <w:rsid w:val="7B57428A"/>
    <w:rsid w:val="7B5A6766"/>
    <w:rsid w:val="7B5B6981"/>
    <w:rsid w:val="7B615D46"/>
    <w:rsid w:val="7B684125"/>
    <w:rsid w:val="7B737828"/>
    <w:rsid w:val="7B783090"/>
    <w:rsid w:val="7B786BEC"/>
    <w:rsid w:val="7B7A0BB6"/>
    <w:rsid w:val="7B810197"/>
    <w:rsid w:val="7B814D3A"/>
    <w:rsid w:val="7B841A35"/>
    <w:rsid w:val="7B876E2F"/>
    <w:rsid w:val="7B8E5FFE"/>
    <w:rsid w:val="7B8E6410"/>
    <w:rsid w:val="7B9003DA"/>
    <w:rsid w:val="7B971768"/>
    <w:rsid w:val="7B98728E"/>
    <w:rsid w:val="7B9D6653"/>
    <w:rsid w:val="7BA23C69"/>
    <w:rsid w:val="7BB65A97"/>
    <w:rsid w:val="7BBA5457"/>
    <w:rsid w:val="7BCC6F38"/>
    <w:rsid w:val="7BCE0F02"/>
    <w:rsid w:val="7BD77DB7"/>
    <w:rsid w:val="7BDE1658"/>
    <w:rsid w:val="7BDF4EBD"/>
    <w:rsid w:val="7BE14791"/>
    <w:rsid w:val="7BE2675B"/>
    <w:rsid w:val="7BE75B20"/>
    <w:rsid w:val="7BF00E78"/>
    <w:rsid w:val="7BF070CA"/>
    <w:rsid w:val="7BF5023D"/>
    <w:rsid w:val="7C091F3A"/>
    <w:rsid w:val="7C0B79BA"/>
    <w:rsid w:val="7C0D1A2A"/>
    <w:rsid w:val="7C0D37D8"/>
    <w:rsid w:val="7C117F0B"/>
    <w:rsid w:val="7C142DB9"/>
    <w:rsid w:val="7C1521AD"/>
    <w:rsid w:val="7C38519D"/>
    <w:rsid w:val="7C482A62"/>
    <w:rsid w:val="7C6247CB"/>
    <w:rsid w:val="7C683F14"/>
    <w:rsid w:val="7C6C2CF0"/>
    <w:rsid w:val="7C703D67"/>
    <w:rsid w:val="7C725D31"/>
    <w:rsid w:val="7C743857"/>
    <w:rsid w:val="7C765821"/>
    <w:rsid w:val="7C7702D6"/>
    <w:rsid w:val="7C7B2E38"/>
    <w:rsid w:val="7C7C270C"/>
    <w:rsid w:val="7C7E0232"/>
    <w:rsid w:val="7C870B4A"/>
    <w:rsid w:val="7C8A307B"/>
    <w:rsid w:val="7C8B0BA1"/>
    <w:rsid w:val="7C8F243F"/>
    <w:rsid w:val="7C921F30"/>
    <w:rsid w:val="7C9C690A"/>
    <w:rsid w:val="7C9E6B26"/>
    <w:rsid w:val="7CA12173"/>
    <w:rsid w:val="7CA3413D"/>
    <w:rsid w:val="7CBC6FAC"/>
    <w:rsid w:val="7CC540B3"/>
    <w:rsid w:val="7CCC3AB5"/>
    <w:rsid w:val="7CCC5441"/>
    <w:rsid w:val="7CDE33C7"/>
    <w:rsid w:val="7CE107C1"/>
    <w:rsid w:val="7CE704CD"/>
    <w:rsid w:val="7CE71B1D"/>
    <w:rsid w:val="7CE81B50"/>
    <w:rsid w:val="7CEA58C8"/>
    <w:rsid w:val="7CF3470C"/>
    <w:rsid w:val="7CF70E17"/>
    <w:rsid w:val="7CF84488"/>
    <w:rsid w:val="7CFC4A0F"/>
    <w:rsid w:val="7CFC55FB"/>
    <w:rsid w:val="7CFE5817"/>
    <w:rsid w:val="7CFF725B"/>
    <w:rsid w:val="7D060228"/>
    <w:rsid w:val="7D1032D5"/>
    <w:rsid w:val="7D142945"/>
    <w:rsid w:val="7D1943FF"/>
    <w:rsid w:val="7D1D5C9D"/>
    <w:rsid w:val="7D2012E9"/>
    <w:rsid w:val="7D254B52"/>
    <w:rsid w:val="7D256900"/>
    <w:rsid w:val="7D284642"/>
    <w:rsid w:val="7D2E7EAA"/>
    <w:rsid w:val="7D2F777E"/>
    <w:rsid w:val="7D3B3B39"/>
    <w:rsid w:val="7D45450A"/>
    <w:rsid w:val="7D4C174C"/>
    <w:rsid w:val="7D4E22FA"/>
    <w:rsid w:val="7D5005A8"/>
    <w:rsid w:val="7D5B3B48"/>
    <w:rsid w:val="7D611115"/>
    <w:rsid w:val="7D676F18"/>
    <w:rsid w:val="7D6B2EAC"/>
    <w:rsid w:val="7D6E64F9"/>
    <w:rsid w:val="7D6F2271"/>
    <w:rsid w:val="7D731D61"/>
    <w:rsid w:val="7D7D2BE0"/>
    <w:rsid w:val="7D87580C"/>
    <w:rsid w:val="7D8C4BD1"/>
    <w:rsid w:val="7D9F4260"/>
    <w:rsid w:val="7DAA5057"/>
    <w:rsid w:val="7DAE2D99"/>
    <w:rsid w:val="7DB305B1"/>
    <w:rsid w:val="7DB82548"/>
    <w:rsid w:val="7DBA173E"/>
    <w:rsid w:val="7DC4436B"/>
    <w:rsid w:val="7DCB1DED"/>
    <w:rsid w:val="7DD413E6"/>
    <w:rsid w:val="7DDA593C"/>
    <w:rsid w:val="7DDF11A4"/>
    <w:rsid w:val="7DEB18F7"/>
    <w:rsid w:val="7DF033B2"/>
    <w:rsid w:val="7DF05160"/>
    <w:rsid w:val="7DF509C8"/>
    <w:rsid w:val="7DFF1847"/>
    <w:rsid w:val="7E0E1A8A"/>
    <w:rsid w:val="7E164392"/>
    <w:rsid w:val="7E1D3A7B"/>
    <w:rsid w:val="7E1E6017"/>
    <w:rsid w:val="7E2207F9"/>
    <w:rsid w:val="7E225B11"/>
    <w:rsid w:val="7E2712AA"/>
    <w:rsid w:val="7E3239CA"/>
    <w:rsid w:val="7E386B07"/>
    <w:rsid w:val="7E4234E1"/>
    <w:rsid w:val="7E462FD2"/>
    <w:rsid w:val="7E4B4A8C"/>
    <w:rsid w:val="7E505BFE"/>
    <w:rsid w:val="7E543940"/>
    <w:rsid w:val="7E590F57"/>
    <w:rsid w:val="7E5E678E"/>
    <w:rsid w:val="7E6416AA"/>
    <w:rsid w:val="7E6B6EDC"/>
    <w:rsid w:val="7E7044F2"/>
    <w:rsid w:val="7E777E86"/>
    <w:rsid w:val="7E7933A7"/>
    <w:rsid w:val="7E7F4735"/>
    <w:rsid w:val="7E7F64E4"/>
    <w:rsid w:val="7E802674"/>
    <w:rsid w:val="7E867872"/>
    <w:rsid w:val="7E8A1F33"/>
    <w:rsid w:val="7EA47CF8"/>
    <w:rsid w:val="7EAB1087"/>
    <w:rsid w:val="7EAD45A5"/>
    <w:rsid w:val="7EBC14E6"/>
    <w:rsid w:val="7ECF1219"/>
    <w:rsid w:val="7EDC27FD"/>
    <w:rsid w:val="7EE2719E"/>
    <w:rsid w:val="7EE34CC4"/>
    <w:rsid w:val="7EEB3B79"/>
    <w:rsid w:val="7EEF18BB"/>
    <w:rsid w:val="7EF012E2"/>
    <w:rsid w:val="7EF742CC"/>
    <w:rsid w:val="7F0709B3"/>
    <w:rsid w:val="7F0C5FC9"/>
    <w:rsid w:val="7F0E1F99"/>
    <w:rsid w:val="7F0F7867"/>
    <w:rsid w:val="7F1C1F84"/>
    <w:rsid w:val="7F1E5CFC"/>
    <w:rsid w:val="7F216F25"/>
    <w:rsid w:val="7F272E03"/>
    <w:rsid w:val="7F2A6313"/>
    <w:rsid w:val="7F2A644F"/>
    <w:rsid w:val="7F2C21C7"/>
    <w:rsid w:val="7F2E7B3F"/>
    <w:rsid w:val="7F453289"/>
    <w:rsid w:val="7F480FCB"/>
    <w:rsid w:val="7F673200"/>
    <w:rsid w:val="7F686F78"/>
    <w:rsid w:val="7F6D458E"/>
    <w:rsid w:val="7F6F47AA"/>
    <w:rsid w:val="7F710AA7"/>
    <w:rsid w:val="7F7719D8"/>
    <w:rsid w:val="7F7973D7"/>
    <w:rsid w:val="7F7E49ED"/>
    <w:rsid w:val="7F7E679B"/>
    <w:rsid w:val="7F8A5140"/>
    <w:rsid w:val="7F8C0EB8"/>
    <w:rsid w:val="7F8C2C66"/>
    <w:rsid w:val="7F8E4C30"/>
    <w:rsid w:val="7F9935D5"/>
    <w:rsid w:val="7FA02BB5"/>
    <w:rsid w:val="7FA44454"/>
    <w:rsid w:val="7FA93FC6"/>
    <w:rsid w:val="7FAD75B9"/>
    <w:rsid w:val="7FB0104A"/>
    <w:rsid w:val="7FB83A5B"/>
    <w:rsid w:val="7FBB354B"/>
    <w:rsid w:val="7FBD72C3"/>
    <w:rsid w:val="7FC95C68"/>
    <w:rsid w:val="7FD36AE7"/>
    <w:rsid w:val="7FD5285F"/>
    <w:rsid w:val="7FDF36DE"/>
    <w:rsid w:val="7FE505C8"/>
    <w:rsid w:val="7FF371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spacing w:line="560" w:lineRule="exact"/>
      <w:ind w:firstLine="964"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3"/>
    <w:link w:val="27"/>
    <w:qFormat/>
    <w:uiPriority w:val="0"/>
    <w:pPr>
      <w:keepNext/>
      <w:keepLines/>
      <w:spacing w:beforeLines="0" w:beforeAutospacing="0" w:after="330" w:afterLines="0" w:afterAutospacing="0" w:line="576" w:lineRule="auto"/>
      <w:ind w:firstLine="0" w:firstLineChars="0"/>
      <w:jc w:val="center"/>
      <w:outlineLvl w:val="0"/>
    </w:pPr>
    <w:rPr>
      <w:rFonts w:eastAsia="黑体"/>
      <w:kern w:val="44"/>
      <w:sz w:val="30"/>
      <w:szCs w:val="30"/>
    </w:rPr>
  </w:style>
  <w:style w:type="paragraph" w:styleId="3">
    <w:name w:val="heading 2"/>
    <w:basedOn w:val="1"/>
    <w:next w:val="1"/>
    <w:link w:val="25"/>
    <w:unhideWhenUsed/>
    <w:qFormat/>
    <w:uiPriority w:val="0"/>
    <w:pPr>
      <w:keepNext/>
      <w:keepLines/>
      <w:spacing w:before="260" w:beforeLines="0" w:beforeAutospacing="0" w:after="260" w:afterLines="0" w:afterAutospacing="0" w:line="413" w:lineRule="auto"/>
      <w:ind w:firstLine="0" w:firstLineChars="0"/>
      <w:outlineLvl w:val="1"/>
    </w:pPr>
    <w:rPr>
      <w:rFonts w:eastAsia="黑体"/>
      <w:sz w:val="28"/>
      <w:szCs w:val="28"/>
    </w:rPr>
  </w:style>
  <w:style w:type="paragraph" w:styleId="4">
    <w:name w:val="heading 3"/>
    <w:basedOn w:val="1"/>
    <w:next w:val="1"/>
    <w:link w:val="26"/>
    <w:unhideWhenUsed/>
    <w:qFormat/>
    <w:uiPriority w:val="0"/>
    <w:pPr>
      <w:keepNext/>
      <w:keepLines/>
      <w:spacing w:before="260" w:beforeLines="0" w:beforeAutospacing="0" w:after="260" w:afterLines="0" w:afterAutospacing="0" w:line="413" w:lineRule="auto"/>
      <w:ind w:firstLine="482" w:firstLineChars="100"/>
      <w:outlineLvl w:val="2"/>
    </w:pPr>
    <w:rPr>
      <w:rFonts w:ascii="Times New Roman" w:hAnsi="Times New Roman" w:eastAsia="黑体"/>
      <w:b/>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b/>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7">
    <w:name w:val="annotation text"/>
    <w:basedOn w:val="1"/>
    <w:qFormat/>
    <w:uiPriority w:val="0"/>
    <w:pPr>
      <w:jc w:val="left"/>
    </w:pPr>
  </w:style>
  <w:style w:type="paragraph" w:styleId="8">
    <w:name w:val="Body Text"/>
    <w:basedOn w:val="1"/>
    <w:next w:val="2"/>
    <w:qFormat/>
    <w:uiPriority w:val="0"/>
    <w:pPr>
      <w:spacing w:after="120" w:afterLines="0"/>
    </w:pPr>
  </w:style>
  <w:style w:type="paragraph" w:styleId="9">
    <w:name w:val="toc 3"/>
    <w:basedOn w:val="1"/>
    <w:next w:val="1"/>
    <w:qFormat/>
    <w:uiPriority w:val="0"/>
    <w:pPr>
      <w:ind w:left="840" w:leftChars="400"/>
    </w:pPr>
  </w:style>
  <w:style w:type="paragraph" w:styleId="10">
    <w:name w:val="Plain Text"/>
    <w:basedOn w:val="1"/>
    <w:unhideWhenUsed/>
    <w:qFormat/>
    <w:uiPriority w:val="0"/>
    <w:rPr>
      <w:rFonts w:ascii="宋体" w:hAnsi="Courier New" w:cs="Courier New"/>
      <w:szCs w:val="21"/>
    </w:r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toc 1"/>
    <w:basedOn w:val="1"/>
    <w:next w:val="1"/>
    <w:qFormat/>
    <w:uiPriority w:val="0"/>
  </w:style>
  <w:style w:type="paragraph" w:styleId="14">
    <w:name w:val="toc 2"/>
    <w:basedOn w:val="1"/>
    <w:next w:val="1"/>
    <w:qFormat/>
    <w:uiPriority w:val="0"/>
    <w:pPr>
      <w:ind w:left="420" w:leftChars="200"/>
    </w:pPr>
  </w:style>
  <w:style w:type="paragraph" w:styleId="15">
    <w:name w:val="Body Text First Indent"/>
    <w:basedOn w:val="8"/>
    <w:qFormat/>
    <w:uiPriority w:val="99"/>
    <w:pPr>
      <w:snapToGrid w:val="0"/>
      <w:spacing w:line="440" w:lineRule="exact"/>
      <w:ind w:firstLine="420"/>
    </w:pPr>
  </w:style>
  <w:style w:type="paragraph" w:styleId="16">
    <w:name w:val="Body Text First Indent 2"/>
    <w:basedOn w:val="1"/>
    <w:qFormat/>
    <w:uiPriority w:val="0"/>
    <w:pPr>
      <w:spacing w:line="240" w:lineRule="auto"/>
      <w:ind w:firstLine="200" w:firstLineChars="200"/>
    </w:pPr>
    <w:rPr>
      <w:szCs w:val="28"/>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0"/>
    <w:rPr>
      <w:b/>
    </w:rPr>
  </w:style>
  <w:style w:type="character" w:styleId="21">
    <w:name w:val="Hyperlink"/>
    <w:basedOn w:val="19"/>
    <w:qFormat/>
    <w:uiPriority w:val="0"/>
    <w:rPr>
      <w:color w:val="0000FF"/>
      <w:u w:val="single"/>
    </w:rPr>
  </w:style>
  <w:style w:type="paragraph" w:customStyle="1" w:styleId="22">
    <w:name w:val="正 文"/>
    <w:basedOn w:val="23"/>
    <w:qFormat/>
    <w:uiPriority w:val="0"/>
    <w:pPr>
      <w:ind w:firstLine="200"/>
    </w:pPr>
    <w:rPr>
      <w:rFonts w:ascii="宋体" w:hAnsi="宋体" w:eastAsia="宋体" w:cs="Times New Roman"/>
      <w:sz w:val="21"/>
      <w:szCs w:val="22"/>
      <w:lang w:val="en-US" w:eastAsia="zh-CN" w:bidi="ar-SA"/>
    </w:rPr>
  </w:style>
  <w:style w:type="paragraph" w:customStyle="1" w:styleId="23">
    <w:name w:val="正文1"/>
    <w:qFormat/>
    <w:uiPriority w:val="0"/>
    <w:pPr>
      <w:spacing w:before="240" w:after="240" w:line="360" w:lineRule="auto"/>
    </w:pPr>
    <w:rPr>
      <w:rFonts w:ascii="Times New Roman" w:hAnsi="Times New Roman" w:eastAsia="仿宋_GB2312" w:cs="Times New Roman"/>
      <w:kern w:val="2"/>
      <w:sz w:val="24"/>
      <w:lang w:val="en-US" w:eastAsia="zh-CN" w:bidi="ar-SA"/>
    </w:rPr>
  </w:style>
  <w:style w:type="paragraph" w:customStyle="1" w:styleId="24">
    <w:name w:val="表格样式"/>
    <w:basedOn w:val="1"/>
    <w:qFormat/>
    <w:uiPriority w:val="0"/>
    <w:pPr>
      <w:spacing w:line="240" w:lineRule="auto"/>
      <w:ind w:firstLine="0" w:firstLineChars="0"/>
      <w:jc w:val="center"/>
    </w:pPr>
    <w:rPr>
      <w:rFonts w:hint="eastAsia" w:ascii="Times New Roman" w:hAnsi="Times New Roman" w:eastAsia="仿宋" w:cs="Times New Roman"/>
      <w:kern w:val="0"/>
      <w:sz w:val="21"/>
      <w:szCs w:val="21"/>
    </w:rPr>
  </w:style>
  <w:style w:type="character" w:customStyle="1" w:styleId="25">
    <w:name w:val="标题 2 Char"/>
    <w:link w:val="3"/>
    <w:qFormat/>
    <w:uiPriority w:val="0"/>
    <w:rPr>
      <w:rFonts w:eastAsia="黑体"/>
      <w:sz w:val="28"/>
      <w:szCs w:val="28"/>
    </w:rPr>
  </w:style>
  <w:style w:type="character" w:customStyle="1" w:styleId="26">
    <w:name w:val="标题 3 Char"/>
    <w:link w:val="4"/>
    <w:qFormat/>
    <w:uiPriority w:val="0"/>
    <w:rPr>
      <w:rFonts w:ascii="Times New Roman" w:hAnsi="Times New Roman" w:eastAsia="黑体"/>
      <w:b/>
      <w:sz w:val="24"/>
    </w:rPr>
  </w:style>
  <w:style w:type="character" w:customStyle="1" w:styleId="27">
    <w:name w:val="标题 1 Char"/>
    <w:link w:val="2"/>
    <w:qFormat/>
    <w:uiPriority w:val="0"/>
    <w:rPr>
      <w:rFonts w:eastAsia="黑体"/>
      <w:kern w:val="44"/>
      <w:sz w:val="30"/>
      <w:szCs w:val="30"/>
    </w:rPr>
  </w:style>
  <w:style w:type="character" w:customStyle="1" w:styleId="28">
    <w:name w:val="font21"/>
    <w:basedOn w:val="19"/>
    <w:qFormat/>
    <w:uiPriority w:val="0"/>
    <w:rPr>
      <w:rFonts w:hint="default" w:ascii="Arial" w:hAnsi="Arial" w:cs="Arial"/>
      <w:color w:val="000000"/>
      <w:sz w:val="20"/>
      <w:szCs w:val="20"/>
      <w:u w:val="none"/>
    </w:rPr>
  </w:style>
  <w:style w:type="character" w:customStyle="1" w:styleId="29">
    <w:name w:val="font11"/>
    <w:basedOn w:val="19"/>
    <w:qFormat/>
    <w:uiPriority w:val="0"/>
    <w:rPr>
      <w:rFonts w:hint="eastAsia" w:ascii="宋体" w:hAnsi="宋体" w:eastAsia="宋体" w:cs="宋体"/>
      <w:color w:val="000000"/>
      <w:sz w:val="20"/>
      <w:szCs w:val="20"/>
      <w:u w:val="none"/>
    </w:rPr>
  </w:style>
  <w:style w:type="table" w:customStyle="1" w:styleId="30">
    <w:name w:val="Table Normal"/>
    <w:semiHidden/>
    <w:unhideWhenUsed/>
    <w:qFormat/>
    <w:uiPriority w:val="2"/>
    <w:tblPr>
      <w:tblCellMar>
        <w:top w:w="0" w:type="dxa"/>
        <w:left w:w="0" w:type="dxa"/>
        <w:bottom w:w="0" w:type="dxa"/>
        <w:right w:w="0" w:type="dxa"/>
      </w:tblCellMar>
    </w:tblPr>
  </w:style>
  <w:style w:type="character" w:customStyle="1" w:styleId="31">
    <w:name w:val="font31"/>
    <w:basedOn w:val="19"/>
    <w:qFormat/>
    <w:uiPriority w:val="0"/>
    <w:rPr>
      <w:rFonts w:hint="default" w:ascii="Times New Roman" w:hAnsi="Times New Roman" w:cs="Times New Roman"/>
      <w:color w:val="000000"/>
      <w:sz w:val="21"/>
      <w:szCs w:val="21"/>
      <w:u w:val="none"/>
      <w:vertAlign w:val="superscript"/>
    </w:rPr>
  </w:style>
  <w:style w:type="character" w:customStyle="1" w:styleId="32">
    <w:name w:val="font51"/>
    <w:basedOn w:val="19"/>
    <w:qFormat/>
    <w:uiPriority w:val="0"/>
    <w:rPr>
      <w:rFonts w:hint="default" w:ascii="Times New Roman" w:hAnsi="Times New Roman" w:cs="Times New Roman"/>
      <w:color w:val="000000"/>
      <w:sz w:val="21"/>
      <w:szCs w:val="21"/>
      <w:u w:val="none"/>
      <w:vertAlign w:val="superscript"/>
    </w:rPr>
  </w:style>
  <w:style w:type="character" w:customStyle="1" w:styleId="33">
    <w:name w:val="font41"/>
    <w:basedOn w:val="19"/>
    <w:qFormat/>
    <w:uiPriority w:val="0"/>
    <w:rPr>
      <w:rFonts w:hint="default" w:ascii="Times New Roman" w:hAnsi="Times New Roman" w:cs="Times New Roman"/>
      <w:color w:val="000000"/>
      <w:sz w:val="21"/>
      <w:szCs w:val="21"/>
      <w:u w:val="none"/>
    </w:rPr>
  </w:style>
  <w:style w:type="character" w:customStyle="1" w:styleId="34">
    <w:name w:val="font111"/>
    <w:basedOn w:val="19"/>
    <w:qFormat/>
    <w:uiPriority w:val="0"/>
    <w:rPr>
      <w:rFonts w:hint="default" w:ascii="Times New Roman" w:hAnsi="Times New Roman" w:cs="Times New Roman"/>
      <w:b/>
      <w:bCs/>
      <w:color w:val="000000"/>
      <w:sz w:val="20"/>
      <w:szCs w:val="20"/>
      <w:u w:val="none"/>
    </w:rPr>
  </w:style>
  <w:style w:type="character" w:customStyle="1" w:styleId="35">
    <w:name w:val="font121"/>
    <w:basedOn w:val="19"/>
    <w:qFormat/>
    <w:uiPriority w:val="0"/>
    <w:rPr>
      <w:rFonts w:hint="default" w:ascii="Times New Roman" w:hAnsi="Times New Roman" w:cs="Times New Roman"/>
      <w:b/>
      <w:bCs/>
      <w:color w:val="000000"/>
      <w:sz w:val="20"/>
      <w:szCs w:val="20"/>
      <w:u w:val="none"/>
      <w:vertAlign w:val="superscript"/>
    </w:rPr>
  </w:style>
  <w:style w:type="character" w:customStyle="1" w:styleId="36">
    <w:name w:val="font132"/>
    <w:basedOn w:val="19"/>
    <w:qFormat/>
    <w:uiPriority w:val="0"/>
    <w:rPr>
      <w:rFonts w:hint="default" w:ascii="Times New Roman" w:hAnsi="Times New Roman" w:cs="Times New Roman"/>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7" Type="http://schemas.openxmlformats.org/officeDocument/2006/relationships/fontTable" Target="fontTable.xml"/><Relationship Id="rId76" Type="http://schemas.openxmlformats.org/officeDocument/2006/relationships/customXml" Target="../customXml/item2.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36.png"/><Relationship Id="rId72" Type="http://schemas.openxmlformats.org/officeDocument/2006/relationships/image" Target="media/image35.png"/><Relationship Id="rId71" Type="http://schemas.openxmlformats.org/officeDocument/2006/relationships/image" Target="media/image34.png"/><Relationship Id="rId70" Type="http://schemas.openxmlformats.org/officeDocument/2006/relationships/image" Target="media/image33.png"/><Relationship Id="rId7" Type="http://schemas.openxmlformats.org/officeDocument/2006/relationships/footer" Target="footer3.xml"/><Relationship Id="rId69" Type="http://schemas.openxmlformats.org/officeDocument/2006/relationships/image" Target="media/image32.png"/><Relationship Id="rId68" Type="http://schemas.openxmlformats.org/officeDocument/2006/relationships/image" Target="media/image31.png"/><Relationship Id="rId67" Type="http://schemas.openxmlformats.org/officeDocument/2006/relationships/image" Target="media/image30.png"/><Relationship Id="rId66" Type="http://schemas.openxmlformats.org/officeDocument/2006/relationships/image" Target="media/image29.wmf"/><Relationship Id="rId65" Type="http://schemas.openxmlformats.org/officeDocument/2006/relationships/oleObject" Target="embeddings/oleObject29.bin"/><Relationship Id="rId64" Type="http://schemas.openxmlformats.org/officeDocument/2006/relationships/image" Target="media/image28.wmf"/><Relationship Id="rId63" Type="http://schemas.openxmlformats.org/officeDocument/2006/relationships/oleObject" Target="embeddings/oleObject28.bin"/><Relationship Id="rId62" Type="http://schemas.openxmlformats.org/officeDocument/2006/relationships/image" Target="media/image27.wmf"/><Relationship Id="rId61" Type="http://schemas.openxmlformats.org/officeDocument/2006/relationships/oleObject" Target="embeddings/oleObject27.bin"/><Relationship Id="rId60" Type="http://schemas.openxmlformats.org/officeDocument/2006/relationships/image" Target="media/image26.wmf"/><Relationship Id="rId6" Type="http://schemas.openxmlformats.org/officeDocument/2006/relationships/footer" Target="footer2.xml"/><Relationship Id="rId59" Type="http://schemas.openxmlformats.org/officeDocument/2006/relationships/oleObject" Target="embeddings/oleObject26.bin"/><Relationship Id="rId58" Type="http://schemas.openxmlformats.org/officeDocument/2006/relationships/image" Target="media/image25.wmf"/><Relationship Id="rId57" Type="http://schemas.openxmlformats.org/officeDocument/2006/relationships/oleObject" Target="embeddings/oleObject25.bin"/><Relationship Id="rId56" Type="http://schemas.openxmlformats.org/officeDocument/2006/relationships/image" Target="media/image24.wmf"/><Relationship Id="rId55" Type="http://schemas.openxmlformats.org/officeDocument/2006/relationships/oleObject" Target="embeddings/oleObject24.bin"/><Relationship Id="rId54" Type="http://schemas.openxmlformats.org/officeDocument/2006/relationships/image" Target="media/image23.wmf"/><Relationship Id="rId53" Type="http://schemas.openxmlformats.org/officeDocument/2006/relationships/oleObject" Target="embeddings/oleObject23.bin"/><Relationship Id="rId52" Type="http://schemas.openxmlformats.org/officeDocument/2006/relationships/image" Target="media/image22.wmf"/><Relationship Id="rId51" Type="http://schemas.openxmlformats.org/officeDocument/2006/relationships/oleObject" Target="embeddings/oleObject22.bin"/><Relationship Id="rId50" Type="http://schemas.openxmlformats.org/officeDocument/2006/relationships/image" Target="media/image21.wmf"/><Relationship Id="rId5" Type="http://schemas.openxmlformats.org/officeDocument/2006/relationships/footer" Target="footer1.xml"/><Relationship Id="rId49" Type="http://schemas.openxmlformats.org/officeDocument/2006/relationships/oleObject" Target="embeddings/oleObject21.bin"/><Relationship Id="rId48" Type="http://schemas.openxmlformats.org/officeDocument/2006/relationships/image" Target="media/image20.wmf"/><Relationship Id="rId47" Type="http://schemas.openxmlformats.org/officeDocument/2006/relationships/oleObject" Target="embeddings/oleObject20.bin"/><Relationship Id="rId46" Type="http://schemas.openxmlformats.org/officeDocument/2006/relationships/image" Target="media/image19.wmf"/><Relationship Id="rId45" Type="http://schemas.openxmlformats.org/officeDocument/2006/relationships/oleObject" Target="embeddings/oleObject19.bin"/><Relationship Id="rId44" Type="http://schemas.openxmlformats.org/officeDocument/2006/relationships/image" Target="media/image18.wmf"/><Relationship Id="rId43" Type="http://schemas.openxmlformats.org/officeDocument/2006/relationships/oleObject" Target="embeddings/oleObject18.bin"/><Relationship Id="rId42" Type="http://schemas.openxmlformats.org/officeDocument/2006/relationships/image" Target="media/image17.wmf"/><Relationship Id="rId41" Type="http://schemas.openxmlformats.org/officeDocument/2006/relationships/oleObject" Target="embeddings/oleObject17.bin"/><Relationship Id="rId40" Type="http://schemas.openxmlformats.org/officeDocument/2006/relationships/image" Target="media/image16.wmf"/><Relationship Id="rId4" Type="http://schemas.openxmlformats.org/officeDocument/2006/relationships/endnotes" Target="endnotes.xml"/><Relationship Id="rId39" Type="http://schemas.openxmlformats.org/officeDocument/2006/relationships/oleObject" Target="embeddings/oleObject16.bin"/><Relationship Id="rId38" Type="http://schemas.openxmlformats.org/officeDocument/2006/relationships/oleObject" Target="embeddings/oleObject15.bin"/><Relationship Id="rId37" Type="http://schemas.openxmlformats.org/officeDocument/2006/relationships/image" Target="media/image15.wmf"/><Relationship Id="rId36" Type="http://schemas.openxmlformats.org/officeDocument/2006/relationships/oleObject" Target="embeddings/oleObject14.bin"/><Relationship Id="rId35" Type="http://schemas.openxmlformats.org/officeDocument/2006/relationships/image" Target="media/image14.wmf"/><Relationship Id="rId34" Type="http://schemas.openxmlformats.org/officeDocument/2006/relationships/oleObject" Target="embeddings/oleObject13.bin"/><Relationship Id="rId33" Type="http://schemas.openxmlformats.org/officeDocument/2006/relationships/image" Target="media/image13.wmf"/><Relationship Id="rId32" Type="http://schemas.openxmlformats.org/officeDocument/2006/relationships/oleObject" Target="embeddings/oleObject12.bin"/><Relationship Id="rId31" Type="http://schemas.openxmlformats.org/officeDocument/2006/relationships/image" Target="media/image12.w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1.wmf"/><Relationship Id="rId28" Type="http://schemas.openxmlformats.org/officeDocument/2006/relationships/oleObject" Target="embeddings/oleObject10.bin"/><Relationship Id="rId27" Type="http://schemas.openxmlformats.org/officeDocument/2006/relationships/image" Target="media/image10.wmf"/><Relationship Id="rId26" Type="http://schemas.openxmlformats.org/officeDocument/2006/relationships/oleObject" Target="embeddings/oleObject9.bin"/><Relationship Id="rId25" Type="http://schemas.openxmlformats.org/officeDocument/2006/relationships/image" Target="media/image9.wmf"/><Relationship Id="rId24" Type="http://schemas.openxmlformats.org/officeDocument/2006/relationships/oleObject" Target="embeddings/oleObject8.bin"/><Relationship Id="rId23" Type="http://schemas.openxmlformats.org/officeDocument/2006/relationships/oleObject" Target="embeddings/oleObject7.bin"/><Relationship Id="rId22" Type="http://schemas.openxmlformats.org/officeDocument/2006/relationships/image" Target="media/image8.wmf"/><Relationship Id="rId21" Type="http://schemas.openxmlformats.org/officeDocument/2006/relationships/oleObject" Target="embeddings/oleObject6.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6.wmf"/><Relationship Id="rId17" Type="http://schemas.openxmlformats.org/officeDocument/2006/relationships/oleObject" Target="embeddings/oleObject4.bin"/><Relationship Id="rId16" Type="http://schemas.openxmlformats.org/officeDocument/2006/relationships/image" Target="media/image5.wmf"/><Relationship Id="rId15" Type="http://schemas.openxmlformats.org/officeDocument/2006/relationships/oleObject" Target="embeddings/oleObject3.bin"/><Relationship Id="rId14" Type="http://schemas.openxmlformats.org/officeDocument/2006/relationships/image" Target="media/image4.wmf"/><Relationship Id="rId13" Type="http://schemas.openxmlformats.org/officeDocument/2006/relationships/oleObject" Target="embeddings/oleObject2.bin"/><Relationship Id="rId12" Type="http://schemas.openxmlformats.org/officeDocument/2006/relationships/image" Target="media/image3.wmf"/><Relationship Id="rId11" Type="http://schemas.openxmlformats.org/officeDocument/2006/relationships/oleObject" Target="embeddings/oleObject1.bin"/><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30"/>
  </customShpExts>
</s:customData>
</file>

<file path=customXml/item2.xml><?xml version="1.0" encoding="utf-8"?>
<contractReview xmlns="http://schemas.wps.cn/vas-ai-hub/contract-review">
  <reviewItems>
    <reviewItem>
      <errorID>06041cf5-e910-41ac-b81c-89f71776123b</errorID>
      <errorWord>项</errorWord>
      <group>L1_Word</group>
      <groupName>字词问题</groupName>
      <ability>L2_Typo</ability>
      <abilityName>字词错误</abilityName>
      <candidateList>
        <item>项目</item>
      </candidateList>
      <explain/>
      <paraID> 4C3C073</paraID>
      <start>16</start>
      <end>17</end>
      <status>ignored</status>
      <modifiedWord/>
      <trackRevisions>false</trackRevisions>
    </reviewItem>
    <reviewItem>
      <errorID>8f43de0b-599f-4673-9bfd-678d6f3aa303</errorID>
      <errorWord>二零二</errorWord>
      <group>L1_Word</group>
      <groupName>字词问题</groupName>
      <ability>L2_Alias</ability>
      <abilityName>也作/曾用词</abilityName>
      <candidateList>
        <item>二○二</item>
      </candidateList>
      <explain>词汇[二零二]为不规范表述或旧称，其规范书面表述为[二○二]。</explain>
      <paraID>2FEB139E</paraID>
      <start>5</start>
      <end>8</end>
      <status>ignored</status>
      <modifiedWord/>
      <trackRevisions>false</trackRevisions>
    </reviewItem>
    <reviewItem>
      <errorID>3abb2dc7-5e03-493a-92ac-48d8a8eb29f8</errorID>
      <errorWord>(</errorWord>
      <group>L1_Format</group>
      <groupName>格式问题</groupName>
      <ability>L2_HalfPunc_CN</ability>
      <abilityName>全半角问题</abilityName>
      <candidateList>
        <item>（</item>
      </candidateList>
      <explain>文本全半角错误。</explain>
      <paraID>5A2A46AD</paraID>
      <start>4</start>
      <end>5</end>
      <status>modified</status>
      <modifiedWord>（</modifiedWord>
      <trackRevisions>false</trackRevisions>
    </reviewItem>
    <reviewItem>
      <errorID>d1715590-67f6-4b91-b065-1e5169dfa37c</errorID>
      <errorWord>)</errorWord>
      <group>L1_Format</group>
      <groupName>格式问题</groupName>
      <ability>L2_HalfPunc_CN</ability>
      <abilityName>全半角问题</abilityName>
      <candidateList>
        <item>）</item>
      </candidateList>
      <explain>文本全半角错误。</explain>
      <paraID>5A2A46AD</paraID>
      <start>13</start>
      <end>14</end>
      <status>modified</status>
      <modifiedWord>）</modifiedWord>
      <trackRevisions>false</trackRevisions>
    </reviewItem>
    <reviewItem>
      <errorID>d87e3f66-6403-442c-bb09-0652c861032d</errorID>
      <errorWord>(</errorWord>
      <group>L1_Format</group>
      <groupName>格式问题</groupName>
      <ability>L2_HalfPunc_CN</ability>
      <abilityName>全半角问题</abilityName>
      <candidateList>
        <item>（</item>
      </candidateList>
      <explain>文本全半角错误。</explain>
      <paraID>6BE086E7</paraID>
      <start>4</start>
      <end>5</end>
      <status>modified</status>
      <modifiedWord>（</modifiedWord>
      <trackRevisions>false</trackRevisions>
    </reviewItem>
    <reviewItem>
      <errorID>0a0d04dc-10ed-40bd-960b-c5879f23bdd6</errorID>
      <errorWord>)</errorWord>
      <group>L1_Format</group>
      <groupName>格式问题</groupName>
      <ability>L2_HalfPunc_CN</ability>
      <abilityName>全半角问题</abilityName>
      <candidateList>
        <item>）</item>
      </candidateList>
      <explain>文本全半角错误。</explain>
      <paraID>6BE086E7</paraID>
      <start>13</start>
      <end>14</end>
      <status>modified</status>
      <modifiedWord>）</modifiedWord>
      <trackRevisions>false</trackRevisions>
    </reviewItem>
    <reviewItem>
      <errorID>85352055-d421-40db-a4de-794a759241d4</errorID>
      <errorWord>(</errorWord>
      <group>L1_Format</group>
      <groupName>格式问题</groupName>
      <ability>L2_HalfPunc_CN</ability>
      <abilityName>全半角问题</abilityName>
      <candidateList>
        <item>（</item>
      </candidateList>
      <explain>文本全半角错误。</explain>
      <paraID>3ABB9EC3</paraID>
      <start>4</start>
      <end>5</end>
      <status>modified</status>
      <modifiedWord>（</modifiedWord>
      <trackRevisions>false</trackRevisions>
    </reviewItem>
    <reviewItem>
      <errorID>7c47633d-4ed6-47c8-80db-8f86b1ac8454</errorID>
      <errorWord>)</errorWord>
      <group>L1_Format</group>
      <groupName>格式问题</groupName>
      <ability>L2_HalfPunc_CN</ability>
      <abilityName>全半角问题</abilityName>
      <candidateList>
        <item>）</item>
      </candidateList>
      <explain>文本全半角错误。</explain>
      <paraID>3ABB9EC3</paraID>
      <start>13</start>
      <end>14</end>
      <status>modified</status>
      <modifiedWord>）</modifiedWord>
      <trackRevisions>false</trackRevisions>
    </reviewItem>
    <reviewItem>
      <errorID>ea905058-940b-442f-bb1a-ca6daf518205</errorID>
      <errorWord>(</errorWord>
      <group>L1_Format</group>
      <groupName>格式问题</groupName>
      <ability>L2_HalfPunc_CN</ability>
      <abilityName>全半角问题</abilityName>
      <candidateList>
        <item>（</item>
      </candidateList>
      <explain>文本全半角错误。</explain>
      <paraID>2AD8A056</paraID>
      <start>4</start>
      <end>5</end>
      <status>modified</status>
      <modifiedWord>（</modifiedWord>
      <trackRevisions>false</trackRevisions>
    </reviewItem>
    <reviewItem>
      <errorID>d0247048-5386-4534-ae0d-a69acab8e659</errorID>
      <errorWord>)</errorWord>
      <group>L1_Format</group>
      <groupName>格式问题</groupName>
      <ability>L2_HalfPunc_CN</ability>
      <abilityName>全半角问题</abilityName>
      <candidateList>
        <item>）</item>
      </candidateList>
      <explain>文本全半角错误。</explain>
      <paraID>2AD8A056</paraID>
      <start>13</start>
      <end>14</end>
      <status>modified</status>
      <modifiedWord>）</modifiedWord>
      <trackRevisions>false</trackRevisions>
    </reviewItem>
    <reviewItem>
      <errorID>cb16ccd8-1be1-4c5a-898d-52fa0be16177</errorID>
      <errorWord>(</errorWord>
      <group>L1_Format</group>
      <groupName>格式问题</groupName>
      <ability>L2_HalfPunc_CN</ability>
      <abilityName>全半角问题</abilityName>
      <candidateList>
        <item>（</item>
      </candidateList>
      <explain>文本全半角错误。</explain>
      <paraID>509FE1EA</paraID>
      <start>5</start>
      <end>6</end>
      <status>modified</status>
      <modifiedWord>（</modifiedWord>
      <trackRevisions>false</trackRevisions>
    </reviewItem>
    <reviewItem>
      <errorID>89b34247-ca5e-4683-b574-cea912bccc45</errorID>
      <errorWord>)</errorWord>
      <group>L1_Format</group>
      <groupName>格式问题</groupName>
      <ability>L2_HalfPunc_CN</ability>
      <abilityName>全半角问题</abilityName>
      <candidateList>
        <item>）</item>
      </candidateList>
      <explain>文本全半角错误。</explain>
      <paraID>509FE1EA</paraID>
      <start>14</start>
      <end>15</end>
      <status>modified</status>
      <modifiedWord>）</modifiedWord>
      <trackRevisions>false</trackRevisions>
    </reviewItem>
    <reviewItem>
      <errorID>e271209e-8ec7-427c-bb2c-b6728ab4873c</errorID>
      <errorWord>聚焦于</errorWord>
      <group>L1_Word</group>
      <groupName>字词问题</groupName>
      <ability>L2_Typo</ability>
      <abilityName>字词错误</abilityName>
      <candidateList>
        <item>聚焦</item>
      </candidateList>
      <explain/>
      <paraID>446FB762</paraID>
      <start>115</start>
      <end>117</end>
      <status>modified</status>
      <modifiedWord>聚焦</modifiedWord>
      <trackRevisions>false</trackRevisions>
    </reviewItem>
    <reviewItem>
      <errorID>62201fac-a248-4e57-bb44-ab3620566da5</errorID>
      <errorWord>,</errorWord>
      <group>L1_Format</group>
      <groupName>格式问题</groupName>
      <ability>L2_HalfPunc_CN</ability>
      <abilityName>全半角问题</abilityName>
      <candidateList>
        <item>，</item>
      </candidateList>
      <explain>文本全半角错误。</explain>
      <paraID>2A80C450</paraID>
      <start>10</start>
      <end>11</end>
      <status>modified</status>
      <modifiedWord>，</modifiedWord>
      <trackRevisions>false</trackRevisions>
    </reviewItem>
    <reviewItem>
      <errorID>233f8724-0429-4d1a-855d-dd5a6c3e5eb8</errorID>
      <errorWord>(</errorWord>
      <group>L1_Format</group>
      <groupName>格式问题</groupName>
      <ability>L2_HalfPunc_CN</ability>
      <abilityName>全半角问题</abilityName>
      <candidateList>
        <item>（</item>
      </candidateList>
      <explain>文本全半角错误。</explain>
      <paraID>2A80C450</paraID>
      <start>83</start>
      <end>84</end>
      <status>modified</status>
      <modifiedWord>（</modifiedWord>
      <trackRevisions>false</trackRevisions>
    </reviewItem>
    <reviewItem>
      <errorID>2f3ecfe4-09e0-4e3d-a5a8-7f122a54a5bd</errorID>
      <errorWord>)</errorWord>
      <group>L1_Format</group>
      <groupName>格式问题</groupName>
      <ability>L2_HalfPunc_CN</ability>
      <abilityName>全半角问题</abilityName>
      <candidateList>
        <item>）</item>
      </candidateList>
      <explain>文本全半角错误。</explain>
      <paraID>2A80C450</paraID>
      <start>89</start>
      <end>90</end>
      <status>modified</status>
      <modifiedWord>）</modifiedWord>
      <trackRevisions>false</trackRevisions>
    </reviewItem>
    <reviewItem>
      <errorID>7ce899c3-024b-4b6f-964b-1320d0382e8d</errorID>
      <errorWord>出现机率</errorWord>
      <group>L1_Word</group>
      <groupName>字词问题</groupName>
      <ability>L2_Typo</ability>
      <abilityName>字词错误</abilityName>
      <candidateList>
        <item>出现概率</item>
      </candidateList>
      <explain/>
      <paraID>367F2473</paraID>
      <start>84</start>
      <end>88</end>
      <status>modified</status>
      <modifiedWord>出现概率</modifiedWord>
      <trackRevisions>false</trackRevisions>
    </reviewItem>
    <reviewItem>
      <errorID>4b571c6b-ad94-4043-a822-7648ff65e523</errorID>
      <errorWord>&gt;</errorWord>
      <group>L1_Format</group>
      <groupName>格式问题</groupName>
      <ability>L2_HalfPunc_CN</ability>
      <abilityName>全半角问题</abilityName>
      <candidateList>
        <item>〉</item>
      </candidateList>
      <explain>文本全半角错误。</explain>
      <paraID>48358B85</paraID>
      <start>160</start>
      <end>161</end>
      <status>modified</status>
      <modifiedWord>〉</modifiedWord>
      <trackRevisions>false</trackRevisions>
    </reviewItem>
    <reviewItem>
      <errorID>d7e91f90-ff2d-4ad8-b2c3-e85d1f2e13a8</errorID>
      <errorWord>具</errorWord>
      <group>L1_Word</group>
      <groupName>字词问题</groupName>
      <ability>L2_Typo</ability>
      <abilityName>字词错误</abilityName>
      <candidateList>
        <item>具备</item>
      </candidateList>
      <explain/>
      <paraID>73C8030C</paraID>
      <start>32</start>
      <end>34</end>
      <status>modified</status>
      <modifiedWord>具备</modifiedWord>
      <trackRevisions>false</trackRevisions>
    </reviewItem>
    <reviewItem>
      <errorID>6ed40da6-440e-4bc2-94ac-79db69af2d3f</errorID>
      <errorWord>峻工</errorWord>
      <group>L1_Word</group>
      <groupName>字词问题</groupName>
      <ability>L2_Typo</ability>
      <abilityName>字词错误</abilityName>
      <candidateList>
        <item>竣工</item>
      </candidateList>
      <explain/>
      <paraID>14C5D468</paraID>
      <start>2</start>
      <end>4</end>
      <status>modified</status>
      <modifiedWord>竣工</modifiedWord>
      <trackRevisions>false</trackRevisions>
    </reviewItem>
    <reviewItem>
      <errorID>966020fe-71d6-4ad5-a3c4-3b96e5f38339</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5A20B694</paraID>
      <start>30</start>
      <end>31</end>
      <status>modified</status>
      <modifiedWord>—</modifiedWord>
      <trackRevisions>false</trackRevisions>
    </reviewItem>
    <reviewItem>
      <errorID>44a2b0e3-2c45-4d36-bffc-061d4dad9022</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528C0FC7</paraID>
      <start>30</start>
      <end>31</end>
      <status>modified</status>
      <modifiedWord>—</modifiedWord>
      <trackRevisions>false</trackRevisions>
    </reviewItem>
    <reviewItem>
      <errorID>da4f09ef-f31e-48f9-bf4b-dbc3b8c40f42</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6D9EB017</paraID>
      <start>48</start>
      <end>49</end>
      <status>ignored</status>
      <modifiedWord/>
      <trackRevisions>false</trackRevisions>
    </reviewItem>
    <reviewItem>
      <errorID>7da6a158-6c3a-4162-9cf2-382e96351508</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6D9EB017</paraID>
      <start>53</start>
      <end>54</end>
      <status>ignored</status>
      <modifiedWord/>
      <trackRevisions>false</trackRevisions>
    </reviewItem>
    <reviewItem>
      <errorID>df657778-de0f-4598-8012-818f0825ec5b</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556B215F</paraID>
      <start>64</start>
      <end>65</end>
      <status>ignored</status>
      <modifiedWord/>
      <trackRevisions>false</trackRevisions>
    </reviewItem>
    <reviewItem>
      <errorID>a8d58de8-1bc2-4735-b519-ca127faef89b</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556B215F</paraID>
      <start>69</start>
      <end>70</end>
      <status>ignored</status>
      <modifiedWord/>
      <trackRevisions>false</trackRevisions>
    </reviewItem>
    <reviewItem>
      <errorID>d4af4c85-05fa-42ac-960e-8ab3432dbbe0</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461788B7</paraID>
      <start>70</start>
      <end>71</end>
      <status>ignored</status>
      <modifiedWord/>
      <trackRevisions>false</trackRevisions>
    </reviewItem>
    <reviewItem>
      <errorID>26ac4fa7-665e-4ff2-a442-f62fc195e330</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461788B7</paraID>
      <start>75</start>
      <end>76</end>
      <status>ignored</status>
      <modifiedWord/>
      <trackRevisions>false</trackRevisions>
    </reviewItem>
    <reviewItem>
      <errorID>ea3df567-5d13-43c2-87d7-3f096a3aa00c</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13EDD663</paraID>
      <start>17</start>
      <end>18</end>
      <status>ignored</status>
      <modifiedWord/>
      <trackRevisions>false</trackRevisions>
    </reviewItem>
    <reviewItem>
      <errorID>9c35eaf2-4104-4cac-a20e-627642434455</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13EDD663</paraID>
      <start>38</start>
      <end>39</end>
      <status>ignored</status>
      <modifiedWord/>
      <trackRevisions>false</trackRevisions>
    </reviewItem>
    <reviewItem>
      <errorID>fe9896a8-6a33-438d-a6f9-b111803aed40</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13EDD663</paraID>
      <start>43</start>
      <end>44</end>
      <status>ignored</status>
      <modifiedWord/>
      <trackRevisions>false</trackRevisions>
    </reviewItem>
    <reviewItem>
      <errorID>9f3618df-6193-4c2b-940d-1879cbf6917a</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13EDD663</paraID>
      <start>48</start>
      <end>49</end>
      <status>ignored</status>
      <modifiedWord/>
      <trackRevisions>false</trackRevisions>
    </reviewItem>
    <reviewItem>
      <errorID>f743cbf1-500a-42a9-a08a-b6bd9ec84542</errorID>
      <errorWord>)</errorWord>
      <group>L1_Format</group>
      <groupName>格式问题</groupName>
      <ability>L2_HalfPunc_CN</ability>
      <abilityName>全半角问题</abilityName>
      <candidateList>
        <item>）</item>
      </candidateList>
      <explain>文本全半角错误。</explain>
      <paraID>1C7C2517</paraID>
      <start>2</start>
      <end>3</end>
      <status>modified</status>
      <modifiedWord>）</modifiedWord>
      <trackRevisions>false</trackRevisions>
    </reviewItem>
    <reviewItem>
      <errorID>369f69b7-e11c-449a-93d9-5aae958ab4ff</errorID>
      <errorWord>)</errorWord>
      <group>L1_Format</group>
      <groupName>格式问题</groupName>
      <ability>L2_HalfPunc_CN</ability>
      <abilityName>全半角问题</abilityName>
      <candidateList>
        <item>）</item>
      </candidateList>
      <explain>文本全半角错误。</explain>
      <paraID>3DEBCAB7</paraID>
      <start>2</start>
      <end>3</end>
      <status>modified</status>
      <modifiedWord>）</modifiedWord>
      <trackRevisions>false</trackRevisions>
    </reviewItem>
    <reviewItem>
      <errorID>f3146212-6832-4b77-aa22-19b4966bb90b</errorID>
      <errorWord>)</errorWord>
      <group>L1_Format</group>
      <groupName>格式问题</groupName>
      <ability>L2_HalfPunc_CN</ability>
      <abilityName>全半角问题</abilityName>
      <candidateList>
        <item>）</item>
      </candidateList>
      <explain>文本全半角错误。</explain>
      <paraID> 922A9B7</paraID>
      <start>2</start>
      <end>3</end>
      <status>modified</status>
      <modifiedWord>）</modifiedWord>
      <trackRevisions>false</trackRevisions>
    </reviewItem>
    <reviewItem>
      <errorID>74ed2d00-13b7-44d1-ba21-bab82adf5ab3</errorID>
      <errorWord>)</errorWord>
      <group>L1_Format</group>
      <groupName>格式问题</groupName>
      <ability>L2_HalfPunc_CN</ability>
      <abilityName>全半角问题</abilityName>
      <candidateList>
        <item>）</item>
      </candidateList>
      <explain>文本全半角错误。</explain>
      <paraID> 922A9B7</paraID>
      <start>31</start>
      <end>32</end>
      <status>modified</status>
      <modifiedWord>）</modifiedWord>
      <trackRevisions>false</trackRevisions>
    </reviewItem>
    <reviewItem>
      <errorID>f40650e6-ddda-4936-9662-cd2671c0eed6</errorID>
      <errorWord>)</errorWord>
      <group>L1_Format</group>
      <groupName>格式问题</groupName>
      <ability>L2_HalfPunc_CN</ability>
      <abilityName>全半角问题</abilityName>
      <candidateList>
        <item>）</item>
      </candidateList>
      <explain>文本全半角错误。</explain>
      <paraID>1D2CC9DA</paraID>
      <start>2</start>
      <end>3</end>
      <status>modified</status>
      <modifiedWord>）</modifiedWord>
      <trackRevisions>false</trackRevisions>
    </reviewItem>
    <reviewItem>
      <errorID>b83dead8-0cc7-47e7-ba61-81e1ebd14adc</errorID>
      <errorWord>)</errorWord>
      <group>L1_Format</group>
      <groupName>格式问题</groupName>
      <ability>L2_HalfPunc_CN</ability>
      <abilityName>全半角问题</abilityName>
      <candidateList>
        <item>）</item>
      </candidateList>
      <explain>文本全半角错误。</explain>
      <paraID>1D2CC9DA</paraID>
      <start>29</start>
      <end>30</end>
      <status>modified</status>
      <modifiedWord>）</modifiedWord>
      <trackRevisions>false</trackRevisions>
    </reviewItem>
    <reviewItem>
      <errorID>14edc60f-f50b-483c-8ff0-e8d54d6585a3</errorID>
      <errorWord>)</errorWord>
      <group>L1_Format</group>
      <groupName>格式问题</groupName>
      <ability>L2_HalfPunc_CN</ability>
      <abilityName>全半角问题</abilityName>
      <candidateList>
        <item>）</item>
      </candidateList>
      <explain>文本全半角错误。</explain>
      <paraID>324BB385</paraID>
      <start>2</start>
      <end>3</end>
      <status>modified</status>
      <modifiedWord>）</modifiedWord>
      <trackRevisions>false</trackRevisions>
    </reviewItem>
    <reviewItem>
      <errorID>c77744c1-498b-4871-baba-13272b636a08</errorID>
      <errorWord>)</errorWord>
      <group>L1_Format</group>
      <groupName>格式问题</groupName>
      <ability>L2_HalfPunc_CN</ability>
      <abilityName>全半角问题</abilityName>
      <candidateList>
        <item>）</item>
      </candidateList>
      <explain>文本全半角错误。</explain>
      <paraID>324BB385</paraID>
      <start>30</start>
      <end>31</end>
      <status>modified</status>
      <modifiedWord>）</modifiedWord>
      <trackRevisions>false</trackRevisions>
    </reviewItem>
    <reviewItem>
      <errorID>b8e4da30-7586-4224-a916-a8c1dff2d7dc</errorID>
      <errorWord>)</errorWord>
      <group>L1_Format</group>
      <groupName>格式问题</groupName>
      <ability>L2_HalfPunc_CN</ability>
      <abilityName>全半角问题</abilityName>
      <candidateList>
        <item>）</item>
      </candidateList>
      <explain>文本全半角错误。</explain>
      <paraID>1473F500</paraID>
      <start>2</start>
      <end>3</end>
      <status>modified</status>
      <modifiedWord>）</modifiedWord>
      <trackRevisions>false</trackRevisions>
    </reviewItem>
    <reviewItem>
      <errorID>cdc1a35b-c689-46e9-acbd-514e7d4d5db4</errorID>
      <errorWord>)</errorWord>
      <group>L1_Format</group>
      <groupName>格式问题</groupName>
      <ability>L2_HalfPunc_CN</ability>
      <abilityName>全半角问题</abilityName>
      <candidateList>
        <item>）</item>
      </candidateList>
      <explain>文本全半角错误。</explain>
      <paraID>1473F500</paraID>
      <start>26</start>
      <end>27</end>
      <status>modified</status>
      <modifiedWord>）</modifiedWord>
      <trackRevisions>false</trackRevisions>
    </reviewItem>
    <reviewItem>
      <errorID>5a39da9b-75b0-4df9-9919-2bf3b628bacd</errorID>
      <errorWord>)</errorWord>
      <group>L1_Format</group>
      <groupName>格式问题</groupName>
      <ability>L2_HalfPunc_CN</ability>
      <abilityName>全半角问题</abilityName>
      <candidateList>
        <item>）</item>
      </candidateList>
      <explain>文本全半角错误。</explain>
      <paraID>1628F2FC</paraID>
      <start>2</start>
      <end>3</end>
      <status>modified</status>
      <modifiedWord>）</modifiedWord>
      <trackRevisions>false</trackRevisions>
    </reviewItem>
    <reviewItem>
      <errorID>23d1c04a-c09f-493f-92ea-53c74155b10b</errorID>
      <errorWord>)</errorWord>
      <group>L1_Format</group>
      <groupName>格式问题</groupName>
      <ability>L2_HalfPunc_CN</ability>
      <abilityName>全半角问题</abilityName>
      <candidateList>
        <item>）</item>
      </candidateList>
      <explain>文本全半角错误。</explain>
      <paraID>1628F2FC</paraID>
      <start>27</start>
      <end>28</end>
      <status>modified</status>
      <modifiedWord>）</modifiedWord>
      <trackRevisions>false</trackRevisions>
    </reviewItem>
    <reviewItem>
      <errorID>a45afa7a-c43a-4bb5-9938-56c9bc762f18</errorID>
      <errorWord>)</errorWord>
      <group>L1_Format</group>
      <groupName>格式问题</groupName>
      <ability>L2_HalfPunc_CN</ability>
      <abilityName>全半角问题</abilityName>
      <candidateList>
        <item>）</item>
      </candidateList>
      <explain>文本全半角错误。</explain>
      <paraID>635CB74E</paraID>
      <start>2</start>
      <end>3</end>
      <status>modified</status>
      <modifiedWord>）</modifiedWord>
      <trackRevisions>false</trackRevisions>
    </reviewItem>
    <reviewItem>
      <errorID>93fc44de-64d8-47f1-b466-eaf35455c690</errorID>
      <errorWord>)</errorWord>
      <group>L1_Format</group>
      <groupName>格式问题</groupName>
      <ability>L2_HalfPunc_CN</ability>
      <abilityName>全半角问题</abilityName>
      <candidateList>
        <item>）</item>
      </candidateList>
      <explain>文本全半角错误。</explain>
      <paraID>635CB74E</paraID>
      <start>22</start>
      <end>23</end>
      <status>modified</status>
      <modifiedWord>）</modifiedWord>
      <trackRevisions>false</trackRevisions>
    </reviewItem>
    <reviewItem>
      <errorID>cd11fdba-11d3-4ed0-9d06-573315e670c7</errorID>
      <errorWord>)</errorWord>
      <group>L1_Format</group>
      <groupName>格式问题</groupName>
      <ability>L2_HalfPunc_CN</ability>
      <abilityName>全半角问题</abilityName>
      <candidateList>
        <item>）</item>
      </candidateList>
      <explain>文本全半角错误。</explain>
      <paraID>391BDF6B</paraID>
      <start>2</start>
      <end>3</end>
      <status>modified</status>
      <modifiedWord>）</modifiedWord>
      <trackRevisions>false</trackRevisions>
    </reviewItem>
    <reviewItem>
      <errorID>560cea5a-aab3-4afa-8a67-d585d374132b</errorID>
      <errorWord>)</errorWord>
      <group>L1_Format</group>
      <groupName>格式问题</groupName>
      <ability>L2_HalfPunc_CN</ability>
      <abilityName>全半角问题</abilityName>
      <candidateList>
        <item>）</item>
      </candidateList>
      <explain>文本全半角错误。</explain>
      <paraID>391BDF6B</paraID>
      <start>27</start>
      <end>28</end>
      <status>modified</status>
      <modifiedWord>）</modifiedWord>
      <trackRevisions>false</trackRevisions>
    </reviewItem>
    <reviewItem>
      <errorID>c9bbd2f0-1c21-418d-ad1d-1cf1dfbf866a</errorID>
      <errorWord>)</errorWord>
      <group>L1_Format</group>
      <groupName>格式问题</groupName>
      <ability>L2_HalfPunc_CN</ability>
      <abilityName>全半角问题</abilityName>
      <candidateList>
        <item>）</item>
      </candidateList>
      <explain>文本全半角错误。</explain>
      <paraID>7EFB9ACD</paraID>
      <start>3</start>
      <end>4</end>
      <status>modified</status>
      <modifiedWord>）</modifiedWord>
      <trackRevisions>false</trackRevisions>
    </reviewItem>
    <reviewItem>
      <errorID>c97418fa-57f3-457d-9991-7abc6b59f0fd</errorID>
      <errorWord>)</errorWord>
      <group>L1_Format</group>
      <groupName>格式问题</groupName>
      <ability>L2_HalfPunc_CN</ability>
      <abilityName>全半角问题</abilityName>
      <candidateList>
        <item>）</item>
      </candidateList>
      <explain>文本全半角错误。</explain>
      <paraID>7EFB9ACD</paraID>
      <start>25</start>
      <end>26</end>
      <status>modified</status>
      <modifiedWord>）</modifiedWord>
      <trackRevisions>false</trackRevisions>
    </reviewItem>
    <reviewItem>
      <errorID>6900093b-b8bf-4574-bcea-d9760f2583b1</errorID>
      <errorWord>)</errorWord>
      <group>L1_Format</group>
      <groupName>格式问题</groupName>
      <ability>L2_HalfPunc_CN</ability>
      <abilityName>全半角问题</abilityName>
      <candidateList>
        <item>）</item>
      </candidateList>
      <explain>文本全半角错误。</explain>
      <paraID>6F2DC784</paraID>
      <start>3</start>
      <end>4</end>
      <status>modified</status>
      <modifiedWord>）</modifiedWord>
      <trackRevisions>false</trackRevisions>
    </reviewItem>
    <reviewItem>
      <errorID>34abff4a-cd3f-45dc-9307-edcf11c73912</errorID>
      <errorWord>)</errorWord>
      <group>L1_Format</group>
      <groupName>格式问题</groupName>
      <ability>L2_HalfPunc_CN</ability>
      <abilityName>全半角问题</abilityName>
      <candidateList>
        <item>）</item>
      </candidateList>
      <explain>文本全半角错误。</explain>
      <paraID>6F2DC784</paraID>
      <start>31</start>
      <end>32</end>
      <status>modified</status>
      <modifiedWord>）</modifiedWord>
      <trackRevisions>false</trackRevisions>
    </reviewItem>
    <reviewItem>
      <errorID>6597159d-608d-4039-938d-a84390a0cd12</errorID>
      <errorWord>)</errorWord>
      <group>L1_Format</group>
      <groupName>格式问题</groupName>
      <ability>L2_HalfPunc_CN</ability>
      <abilityName>全半角问题</abilityName>
      <candidateList>
        <item>）</item>
      </candidateList>
      <explain>文本全半角错误。</explain>
      <paraID>40012B9C</paraID>
      <start>3</start>
      <end>4</end>
      <status>modified</status>
      <modifiedWord>）</modifiedWord>
      <trackRevisions>false</trackRevisions>
    </reviewItem>
    <reviewItem>
      <errorID>e57dfd48-255f-46e5-a3b3-48549681ed59</errorID>
      <errorWord>)</errorWord>
      <group>L1_Format</group>
      <groupName>格式问题</groupName>
      <ability>L2_HalfPunc_CN</ability>
      <abilityName>全半角问题</abilityName>
      <candidateList>
        <item>）</item>
      </candidateList>
      <explain>文本全半角错误。</explain>
      <paraID>40012B9C</paraID>
      <start>33</start>
      <end>34</end>
      <status>modified</status>
      <modifiedWord>）</modifiedWord>
      <trackRevisions>false</trackRevisions>
    </reviewItem>
    <reviewItem>
      <errorID>08ff2d1b-5cbe-4c04-a9ee-0675f37ba0b0</errorID>
      <errorWord>)</errorWord>
      <group>L1_Format</group>
      <groupName>格式问题</groupName>
      <ability>L2_HalfPunc_CN</ability>
      <abilityName>全半角问题</abilityName>
      <candidateList>
        <item>）</item>
      </candidateList>
      <explain>文本全半角错误。</explain>
      <paraID>33D81928</paraID>
      <start>3</start>
      <end>4</end>
      <status>modified</status>
      <modifiedWord>）</modifiedWord>
      <trackRevisions>false</trackRevisions>
    </reviewItem>
    <reviewItem>
      <errorID>6fea0f16-a19e-4c1b-8725-a1e209797215</errorID>
      <errorWord>)</errorWord>
      <group>L1_Format</group>
      <groupName>格式问题</groupName>
      <ability>L2_HalfPunc_CN</ability>
      <abilityName>全半角问题</abilityName>
      <candidateList>
        <item>）</item>
      </candidateList>
      <explain>文本全半角错误。</explain>
      <paraID>33D81928</paraID>
      <start>32</start>
      <end>33</end>
      <status>modified</status>
      <modifiedWord>）</modifiedWord>
      <trackRevisions>false</trackRevisions>
    </reviewItem>
    <reviewItem>
      <errorID>9423c6f4-0982-427b-926f-e4b9bed7720e</errorID>
      <errorWord>)</errorWord>
      <group>L1_Format</group>
      <groupName>格式问题</groupName>
      <ability>L2_HalfPunc_CN</ability>
      <abilityName>全半角问题</abilityName>
      <candidateList>
        <item>）</item>
      </candidateList>
      <explain>文本全半角错误。</explain>
      <paraID>6D286C25</paraID>
      <start>3</start>
      <end>4</end>
      <status>modified</status>
      <modifiedWord>）</modifiedWord>
      <trackRevisions>false</trackRevisions>
    </reviewItem>
    <reviewItem>
      <errorID>1cb60c44-ef53-4f27-a641-70addffb079b</errorID>
      <errorWord>)</errorWord>
      <group>L1_Format</group>
      <groupName>格式问题</groupName>
      <ability>L2_HalfPunc_CN</ability>
      <abilityName>全半角问题</abilityName>
      <candidateList>
        <item>）</item>
      </candidateList>
      <explain>文本全半角错误。</explain>
      <paraID>7C85B5EF</paraID>
      <start>3</start>
      <end>4</end>
      <status>modified</status>
      <modifiedWord>）</modifiedWord>
      <trackRevisions>false</trackRevisions>
    </reviewItem>
    <reviewItem>
      <errorID>1fe2f7f3-4489-4baa-82ee-57ff3bcd9556</errorID>
      <errorWord>《江西省小型农田灌溉渠道及建筑物设计实用手册》（试行）</errorWord>
      <group>L1_Knowledge</group>
      <groupName>知识性问题</groupName>
      <ability>L2_Knowledge</ability>
      <abilityName>其他知识</abilityName>
      <candidateList>
        <item>《江西省小型农田灌溉渠道及建筑物设计实用手册（试行）》</item>
      </candidateList>
      <explain>疑似政策文件、法律法规名称等书写不规范，请注意检查。</explain>
      <paraID>7C85B5EF</paraID>
      <start>4</start>
      <end>31</end>
      <status>modified</status>
      <modifiedWord>《江西省小型农田灌溉渠道及建筑物设计实用手册（试行）》</modifiedWord>
      <trackRevisions>false</trackRevisions>
    </reviewItem>
    <reviewItem>
      <errorID>4e1e451f-f8c2-40c4-8002-096219864e2d</errorID>
      <errorWord>)</errorWord>
      <group>L1_Format</group>
      <groupName>格式问题</groupName>
      <ability>L2_HalfPunc_CN</ability>
      <abilityName>全半角问题</abilityName>
      <candidateList>
        <item>）</item>
      </candidateList>
      <explain>文本全半角错误。</explain>
      <paraID>2496300D</paraID>
      <start>3</start>
      <end>4</end>
      <status>modified</status>
      <modifiedWord>）</modifiedWord>
      <trackRevisions>false</trackRevisions>
    </reviewItem>
    <reviewItem>
      <errorID>cdfac55e-357b-4366-8a18-44a8f28d6246</errorID>
      <errorWord>)</errorWord>
      <group>L1_Format</group>
      <groupName>格式问题</groupName>
      <ability>L2_HalfPunc_CN</ability>
      <abilityName>全半角问题</abilityName>
      <candidateList>
        <item>）</item>
      </candidateList>
      <explain>文本全半角错误。</explain>
      <paraID>2496300D</paraID>
      <start>30</start>
      <end>31</end>
      <status>modified</status>
      <modifiedWord>）</modifiedWord>
      <trackRevisions>false</trackRevisions>
    </reviewItem>
    <reviewItem>
      <errorID>026aaea2-73d6-4a08-be3c-17b0efa6ad16</errorID>
      <errorWord>)</errorWord>
      <group>L1_Format</group>
      <groupName>格式问题</groupName>
      <ability>L2_HalfPunc_CN</ability>
      <abilityName>全半角问题</abilityName>
      <candidateList>
        <item>）</item>
      </candidateList>
      <explain>文本全半角错误。</explain>
      <paraID>3DB0D2B1</paraID>
      <start>3</start>
      <end>4</end>
      <status>modified</status>
      <modifiedWord>）</modifiedWord>
      <trackRevisions>false</trackRevisions>
    </reviewItem>
    <reviewItem>
      <errorID>12eed873-5112-4da2-937e-84bab6483088</errorID>
      <errorWord>总面的</errorWord>
      <group>L1_Word</group>
      <groupName>字词问题</groupName>
      <ability>L2_Typo</ability>
      <abilityName>字词错误</abilityName>
      <candidateList>
        <item>总面积的</item>
      </candidateList>
      <explain/>
      <paraID>75BE6558</paraID>
      <start>1</start>
      <end>5</end>
      <status>modified</status>
      <modifiedWord>总面积的</modifiedWord>
      <trackRevisions>false</trackRevisions>
    </reviewItem>
    <reviewItem>
      <errorID>5a1bec07-b1bf-4f87-abbc-46386ef00fe4</errorID>
      <errorWord>II</errorWord>
      <group>L1_Knowledge</group>
      <groupName>知识性问题</groupName>
      <ability>L2_Knowledge</ability>
      <abilityName>其他知识</abilityName>
      <candidateList>
        <item>Ⅱ</item>
      </candidateList>
      <explain>中文环境下罗马数字格式错误。</explain>
      <paraID>38FB46EC</paraID>
      <start>0</start>
      <end>2</end>
      <status>ignored</status>
      <modifiedWord/>
      <trackRevisions>false</trackRevisions>
    </reviewItem>
    <reviewItem>
      <errorID>a74e4daf-9c80-4c4f-bc2d-11f4d35ce6f7</errorID>
      <errorWord>III</errorWord>
      <group>L1_Knowledge</group>
      <groupName>知识性问题</groupName>
      <ability>L2_Knowledge</ability>
      <abilityName>其他知识</abilityName>
      <candidateList>
        <item>Ⅲ</item>
      </candidateList>
      <explain>中文环境下罗马数字格式错误。</explain>
      <paraID>5115ACEC</paraID>
      <start>0</start>
      <end>3</end>
      <status>ignored</status>
      <modifiedWord/>
      <trackRevisions>false</trackRevisions>
    </reviewItem>
    <reviewItem>
      <errorID>30cdcf9b-5976-4733-b711-3a921fb599b5</errorID>
      <errorWord>IV</errorWord>
      <group>L1_Knowledge</group>
      <groupName>知识性问题</groupName>
      <ability>L2_Knowledge</ability>
      <abilityName>其他知识</abilityName>
      <candidateList>
        <item>Ⅳ</item>
      </candidateList>
      <explain>中文环境下罗马数字格式错误。</explain>
      <paraID>6B9F207C</paraID>
      <start>0</start>
      <end>2</end>
      <status>ignored</status>
      <modifiedWord/>
      <trackRevisions>false</trackRevisions>
    </reviewItem>
    <reviewItem>
      <errorID>ac36ac03-133c-471c-8a51-886a788f0ed3</errorID>
      <errorWord>可引用</errorWord>
      <group>L1_Word</group>
      <groupName>字词问题</groupName>
      <ability>L2_Typo</ability>
      <abilityName>字词错误</abilityName>
      <candidateList>
        <item>可饮用</item>
      </candidateList>
      <explain/>
      <paraID>7C1A9C5A</paraID>
      <start>12</start>
      <end>15</end>
      <status>modified</status>
      <modifiedWord>可饮用</modifiedWord>
      <trackRevisions>false</trackRevisions>
    </reviewItem>
    <reviewItem>
      <errorID>a881d992-a1ef-492a-ba92-c94cc64976d4</errorID>
      <errorWord>工程工程</errorWord>
      <group>L1_Word</group>
      <groupName>字词问题</groupName>
      <ability>L2_Typo</ability>
      <abilityName>字词错误</abilityName>
      <candidateList>
        <item>工程</item>
      </candidateList>
      <explain/>
      <paraID>271DC66B</paraID>
      <start>10</start>
      <end>12</end>
      <status>modified</status>
      <modifiedWord>工程</modifiedWord>
      <trackRevisions>false</trackRevisions>
    </reviewItem>
    <reviewItem>
      <errorID>267ee274-4584-4e32-a21f-47bb4b158787</errorID>
      <errorWord>计</errorWord>
      <group>L1_Word</group>
      <groupName>字词问题</groupName>
      <ability>L2_Typo</ability>
      <abilityName>字词错误</abilityName>
      <candidateList>
        <item>计以</item>
      </candidateList>
      <explain/>
      <paraID>48409A17</paraID>
      <start>10</start>
      <end>11</end>
      <status>ignored</status>
      <modifiedWord/>
      <trackRevisions>false</trackRevisions>
    </reviewItem>
    <reviewItem>
      <errorID>31376e79-55c4-44a8-9936-bf9bb14ffa26</errorID>
      <errorWord>（</errorWord>
      <group>L1_Punc</group>
      <groupName>标点问题</groupName>
      <ability>L2_Punc_CN</ability>
      <abilityName>标点符号问题</abilityName>
      <candidateList/>
      <explain>同一形式括号套用。</explain>
      <paraID>72060474</paraID>
      <start>41</start>
      <end>42</end>
      <status>ignored</status>
      <modifiedWord/>
      <trackRevisions>false</trackRevisions>
    </reviewItem>
    <reviewItem>
      <errorID>3a394b27-8e20-43a7-b4f2-0ec829b29990</errorID>
      <errorWord>）</errorWord>
      <group>L1_Punc</group>
      <groupName>标点问题</groupName>
      <ability>L2_Punc_CN</ability>
      <abilityName>标点符号问题</abilityName>
      <candidateList/>
      <explain>同一形式括号套用。</explain>
      <paraID>72060474</paraID>
      <start>46</start>
      <end>47</end>
      <status>ignored</status>
      <modifiedWord/>
      <trackRevisions>false</trackRevisions>
    </reviewItem>
    <reviewItem>
      <errorID>84db7083-be0b-4e74-a061-0d922e0a0228</errorID>
      <errorWord>(</errorWord>
      <group>L1_Format</group>
      <groupName>格式问题</groupName>
      <ability>L2_HalfPunc_CN</ability>
      <abilityName>全半角问题</abilityName>
      <candidateList>
        <item>（</item>
      </candidateList>
      <explain>文本全半角错误。</explain>
      <paraID>2BE002BD</paraID>
      <start>4</start>
      <end>5</end>
      <status>modified</status>
      <modifiedWord>（</modifiedWord>
      <trackRevisions>false</trackRevisions>
    </reviewItem>
    <reviewItem>
      <errorID>4b14d879-0556-4cd4-b9e2-87a1093d404e</errorID>
      <errorWord>(</errorWord>
      <group>L1_Format</group>
      <groupName>格式问题</groupName>
      <ability>L2_HalfPunc_CN</ability>
      <abilityName>全半角问题</abilityName>
      <candidateList>
        <item>（</item>
      </candidateList>
      <explain>文本全半角错误。</explain>
      <paraID>483A5D25</paraID>
      <start>18</start>
      <end>19</end>
      <status>modified</status>
      <modifiedWord>（</modifiedWord>
      <trackRevisions>false</trackRevisions>
    </reviewItem>
    <reviewItem>
      <errorID>4412b429-5ca9-4d92-88dc-5b8b3d9bd64a</errorID>
      <errorWord>)</errorWord>
      <group>L1_Format</group>
      <groupName>格式问题</groupName>
      <ability>L2_HalfPunc_CN</ability>
      <abilityName>全半角问题</abilityName>
      <candidateList>
        <item>）</item>
      </candidateList>
      <explain>文本全半角错误。</explain>
      <paraID>483A5D25</paraID>
      <start>27</start>
      <end>28</end>
      <status>modified</status>
      <modifiedWord>）</modifiedWord>
      <trackRevisions>false</trackRevisions>
    </reviewItem>
    <reviewItem>
      <errorID>2fae3be5-2567-4777-b170-8e6096c1284e</errorID>
      <errorWord>（</errorWord>
      <group>L1_Punc</group>
      <groupName>标点问题</groupName>
      <ability>L2_Punc_CN</ability>
      <abilityName>标点符号问题</abilityName>
      <candidateList/>
      <explain>同一形式括号套用。</explain>
      <paraID>7E53F7A4</paraID>
      <start>100</start>
      <end>101</end>
      <status>ignored</status>
      <modifiedWord/>
      <trackRevisions>false</trackRevisions>
    </reviewItem>
    <reviewItem>
      <errorID>38642256-b744-4d8f-92d5-3c42ef9eac9c</errorID>
      <errorWord>）</errorWord>
      <group>L1_Punc</group>
      <groupName>标点问题</groupName>
      <ability>L2_Punc_CN</ability>
      <abilityName>标点符号问题</abilityName>
      <candidateList/>
      <explain>同一形式括号套用。</explain>
      <paraID>7E53F7A4</paraID>
      <start>102</start>
      <end>103</end>
      <status>ignored</status>
      <modifiedWord/>
      <trackRevisions>false</trackRevisions>
    </reviewItem>
    <reviewItem>
      <errorID>28ead206-ed0f-485c-8736-ab427765e1b4</errorID>
      <errorWord>（</errorWord>
      <group>L1_Punc</group>
      <groupName>标点问题</groupName>
      <ability>L2_Punc_CN</ability>
      <abilityName>标点符号问题</abilityName>
      <candidateList/>
      <explain>同一形式括号套用。</explain>
      <paraID>7E53F7A4</paraID>
      <start>106</start>
      <end>107</end>
      <status>ignored</status>
      <modifiedWord/>
      <trackRevisions>false</trackRevisions>
    </reviewItem>
    <reviewItem>
      <errorID>7bcce083-03c1-45db-ae6f-083fa6ddeefd</errorID>
      <errorWord>）</errorWord>
      <group>L1_Punc</group>
      <groupName>标点问题</groupName>
      <ability>L2_Punc_CN</ability>
      <abilityName>标点符号问题</abilityName>
      <candidateList/>
      <explain>同一形式括号套用。</explain>
      <paraID>7E53F7A4</paraID>
      <start>108</start>
      <end>109</end>
      <status>ignored</status>
      <modifiedWord/>
      <trackRevisions>false</trackRevisions>
    </reviewItem>
    <reviewItem>
      <errorID>a3a1bddd-ecb0-49b1-9e8f-9a0d9dc490e5</errorID>
      <errorWord>（</errorWord>
      <group>L1_Punc</group>
      <groupName>标点问题</groupName>
      <ability>L2_Punc_CN</ability>
      <abilityName>标点符号问题</abilityName>
      <candidateList/>
      <explain>同一形式括号套用。</explain>
      <paraID>7E53F7A4</paraID>
      <start>112</start>
      <end>113</end>
      <status>ignored</status>
      <modifiedWord/>
      <trackRevisions>false</trackRevisions>
    </reviewItem>
    <reviewItem>
      <errorID>16ba8126-f4f5-447c-957d-cecd30724e3b</errorID>
      <errorWord>）</errorWord>
      <group>L1_Punc</group>
      <groupName>标点问题</groupName>
      <ability>L2_Punc_CN</ability>
      <abilityName>标点符号问题</abilityName>
      <candidateList/>
      <explain>同一形式括号套用。</explain>
      <paraID>7E53F7A4</paraID>
      <start>114</start>
      <end>115</end>
      <status>ignored</status>
      <modifiedWord/>
      <trackRevisions>false</trackRevisions>
    </reviewItem>
    <reviewItem>
      <errorID>3bb32e01-c9da-4b26-8d0c-16702b87b860</errorID>
      <errorWord>（</errorWord>
      <group>L1_Punc</group>
      <groupName>标点问题</groupName>
      <ability>L2_Punc_CN</ability>
      <abilityName>标点符号问题</abilityName>
      <candidateList/>
      <explain>同一形式括号套用。</explain>
      <paraID>7E53F7A4</paraID>
      <start>118</start>
      <end>119</end>
      <status>ignored</status>
      <modifiedWord/>
      <trackRevisions>false</trackRevisions>
    </reviewItem>
    <reviewItem>
      <errorID>959b6604-5299-413a-aa1d-fb688b6f75a3</errorID>
      <errorWord>）</errorWord>
      <group>L1_Punc</group>
      <groupName>标点问题</groupName>
      <ability>L2_Punc_CN</ability>
      <abilityName>标点符号问题</abilityName>
      <candidateList/>
      <explain>同一形式括号套用。</explain>
      <paraID>7E53F7A4</paraID>
      <start>120</start>
      <end>121</end>
      <status>ignored</status>
      <modifiedWord/>
      <trackRevisions>false</trackRevisions>
    </reviewItem>
    <reviewItem>
      <errorID>f7bd8045-6301-422e-b3eb-674fc4d8945f</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49C49963</paraID>
      <start>6</start>
      <end>7</end>
      <status>modified</status>
      <modifiedWord>—</modifiedWord>
      <trackRevisions>false</trackRevisions>
    </reviewItem>
    <reviewItem>
      <errorID>30346af9-bb65-4a2e-9471-1277e082d383</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49C49963</paraID>
      <start>47</start>
      <end>48</end>
      <status>modified</status>
      <modifiedWord>—</modifiedWord>
      <trackRevisions>false</trackRevisions>
    </reviewItem>
    <reviewItem>
      <errorID>f642373d-34dc-4f7c-aad9-6405bfdc6f86</errorID>
      <errorWord>1999年1月；</errorWord>
      <group>L1_Word</group>
      <groupName>字词问题</groupName>
      <ability>L2_Typo</ability>
      <abilityName>字词错误</abilityName>
      <candidateList/>
      <explain>无建议</explain>
      <paraID>413490CC</paraID>
      <start>17</start>
      <end>25</end>
      <status>ignored</status>
      <modifiedWord/>
      <trackRevisions>false</trackRevisions>
    </reviewItem>
    <reviewItem>
      <errorID>b7e5df79-8a81-4195-a663-f3ee011ef6fe</errorID>
      <errorWord>（</errorWord>
      <group>L1_Punc</group>
      <groupName>标点问题</groupName>
      <ability>L2_Punc_CN</ability>
      <abilityName>标点符号问题</abilityName>
      <candidateList/>
      <explain>同一形式括号套用。</explain>
      <paraID>685E9FD5</paraID>
      <start>110</start>
      <end>111</end>
      <status>ignored</status>
      <modifiedWord/>
      <trackRevisions>false</trackRevisions>
    </reviewItem>
    <reviewItem>
      <errorID>9ff71851-1cfc-4a87-983e-9b4d453914e3</errorID>
      <errorWord>）</errorWord>
      <group>L1_Punc</group>
      <groupName>标点问题</groupName>
      <ability>L2_Punc_CN</ability>
      <abilityName>标点符号问题</abilityName>
      <candidateList/>
      <explain>同一形式括号套用。</explain>
      <paraID>685E9FD5</paraID>
      <start>112</start>
      <end>113</end>
      <status>ignored</status>
      <modifiedWord/>
      <trackRevisions>false</trackRevisions>
    </reviewItem>
    <reviewItem>
      <errorID>6b15ffb0-3aa8-4f19-8cd4-1520ca59f32f</errorID>
      <errorWord>（</errorWord>
      <group>L1_Punc</group>
      <groupName>标点问题</groupName>
      <ability>L2_Punc_CN</ability>
      <abilityName>标点符号问题</abilityName>
      <candidateList/>
      <explain>同一形式括号套用。</explain>
      <paraID>685E9FD5</paraID>
      <start>120</start>
      <end>121</end>
      <status>ignored</status>
      <modifiedWord/>
      <trackRevisions>false</trackRevisions>
    </reviewItem>
    <reviewItem>
      <errorID>d43b4077-56b8-48a8-a7a6-a2834ff21c83</errorID>
      <errorWord>）</errorWord>
      <group>L1_Punc</group>
      <groupName>标点问题</groupName>
      <ability>L2_Punc_CN</ability>
      <abilityName>标点符号问题</abilityName>
      <candidateList/>
      <explain>同一形式括号套用。</explain>
      <paraID>685E9FD5</paraID>
      <start>122</start>
      <end>123</end>
      <status>ignored</status>
      <modifiedWord/>
      <trackRevisions>false</trackRevisions>
    </reviewItem>
    <reviewItem>
      <errorID>4dd9f70f-e4fa-4f68-a076-01932b3f282a</errorID>
      <errorWord>月1日实施</errorWord>
      <group>L1_Word</group>
      <groupName>字词问题</groupName>
      <ability>L2_Typo</ability>
      <abilityName>字词错误</abilityName>
      <candidateList>
        <item>月1日起实施</item>
      </candidateList>
      <explain/>
      <paraID>5780C197</paraID>
      <start>36</start>
      <end>42</end>
      <status>modified</status>
      <modifiedWord>月1日起实施</modifiedWord>
      <trackRevisions>false</trackRevisions>
    </reviewItem>
    <reviewItem>
      <errorID>fda947d4-c262-4f2d-8a2e-e8c3e9e17836</errorID>
      <errorWord>[2019]27号</errorWord>
      <group>L1_Knowledge</group>
      <groupName>知识性问题</groupName>
      <ability>L2_Knowledge</ability>
      <abilityName>其他知识</abilityName>
      <candidateList>
        <item>〔2019〕27号</item>
      </candidateList>
      <explain>发文字号格式错误。</explain>
      <paraID>57DF1866</paraID>
      <start>40</start>
      <end>49</end>
      <status>modified</status>
      <modifiedWord>〔2019〕27号</modifiedWord>
      <trackRevisions>false</trackRevisions>
    </reviewItem>
    <reviewItem>
      <errorID>cded4789-5409-4ce4-987b-244d658afe16</errorID>
      <errorWord>[2019]97号</errorWord>
      <group>L1_Knowledge</group>
      <groupName>知识性问题</groupName>
      <ability>L2_Knowledge</ability>
      <abilityName>其他知识</abilityName>
      <candidateList>
        <item>〔2019〕97号</item>
      </candidateList>
      <explain>发文字号格式错误。</explain>
      <paraID>3CA90385</paraID>
      <start>45</start>
      <end>54</end>
      <status>modified</status>
      <modifiedWord>〔2019〕97号</modifiedWord>
      <trackRevisions>false</trackRevisions>
    </reviewItem>
    <reviewItem>
      <errorID>9a407164-3f66-46f2-b96a-76ee02a96afb</errorID>
      <errorWord>《</errorWord>
      <group>L1_Punc</group>
      <groupName>标点问题</groupName>
      <ability>L2_Punc_CN</ability>
      <abilityName>标点符号问题</abilityName>
      <candidateList/>
      <explain>此处标点可能未正确匹配，请检查句子中是否存在标点冗余、缺失或使用错误的情况。</explain>
      <paraID>6910CD1E</paraID>
      <start>2</start>
      <end>3</end>
      <status>ignored</status>
      <modifiedWord/>
      <trackRevisions>false</trackRevisions>
    </reviewItem>
    <reviewItem>
      <errorID>181ac448-b642-4f3d-a2ce-0428091e9bdc</errorID>
      <errorWord>[2022]2号</errorWord>
      <group>L1_Knowledge</group>
      <groupName>知识性问题</groupName>
      <ability>L2_Knowledge</ability>
      <abilityName>其他知识</abilityName>
      <candidateList>
        <item>〔2022〕2号</item>
      </candidateList>
      <explain>发文字号格式错误。</explain>
      <paraID>6910CD1E</paraID>
      <start>71</start>
      <end>79</end>
      <status>modified</status>
      <modifiedWord>〔2022〕2号</modifiedWord>
      <trackRevisions>false</trackRevisions>
    </reviewItem>
    <reviewItem>
      <errorID>a50c9eff-da5c-44b9-bf7f-eb4ae6fe53b0</errorID>
      <errorWord>[2019]31号</errorWord>
      <group>L1_Knowledge</group>
      <groupName>知识性问题</groupName>
      <ability>L2_Knowledge</ability>
      <abilityName>其他知识</abilityName>
      <candidateList>
        <item>〔2019〕31号</item>
      </candidateList>
      <explain>发文字号格式错误。</explain>
      <paraID>4CB99E4D</paraID>
      <start>29</start>
      <end>38</end>
      <status>modified</status>
      <modifiedWord>〔2019〕31号</modifiedWord>
      <trackRevisions>false</trackRevisions>
    </reviewItem>
    <reviewItem>
      <errorID>1be56b66-8616-467c-b5b0-58e20f6d7532</errorID>
      <errorWord>[2021]1号</errorWord>
      <group>L1_Knowledge</group>
      <groupName>知识性问题</groupName>
      <ability>L2_Knowledge</ability>
      <abilityName>其他知识</abilityName>
      <candidateList>
        <item>〔2021〕1号</item>
      </candidateList>
      <explain>发文字号格式错误。</explain>
      <paraID>3735E03B</paraID>
      <start>26</start>
      <end>34</end>
      <status>modified</status>
      <modifiedWord>〔2021〕1号</modifiedWord>
      <trackRevisions>false</trackRevisions>
    </reviewItem>
    <reviewItem>
      <errorID>3de20de2-3cae-41b5-9465-6219649f81db</errorID>
      <errorWord>[2021]3号</errorWord>
      <group>L1_Knowledge</group>
      <groupName>知识性问题</groupName>
      <ability>L2_Knowledge</ability>
      <abilityName>其他知识</abilityName>
      <candidateList>
        <item>〔2021〕3号</item>
      </candidateList>
      <explain>发文字号格式错误。</explain>
      <paraID>1DAAAC41</paraID>
      <start>63</start>
      <end>71</end>
      <status>modified</status>
      <modifiedWord>〔2021〕3号</modifiedWord>
      <trackRevisions>false</trackRevisions>
    </reviewItem>
    <reviewItem>
      <errorID>bdc73977-7484-446b-8842-13fc8e08d5ec</errorID>
      <errorWord>；；</errorWord>
      <group>L1_Punc</group>
      <groupName>标点问题</groupName>
      <ability>L2_Punc_CN</ability>
      <abilityName>标点符号问题</abilityName>
      <candidateList>
        <item>；</item>
      </candidateList>
      <explain/>
      <paraID>2FAB8B91</paraID>
      <start>38</start>
      <end>39</end>
      <status>modified</status>
      <modifiedWord>；</modifiedWord>
      <trackRevisions>false</trackRevisions>
    </reviewItem>
    <reviewItem>
      <errorID>b390c635-ef25-4c06-a856-bb7053662d0f</errorID>
      <errorWord>(</errorWord>
      <group>L1_Format</group>
      <groupName>格式问题</groupName>
      <ability>L2_HalfPunc_CN</ability>
      <abilityName>全半角问题</abilityName>
      <candidateList>
        <item>（</item>
      </candidateList>
      <explain>文本全半角错误。</explain>
      <paraID> 198C204</paraID>
      <start>66</start>
      <end>67</end>
      <status>modified</status>
      <modifiedWord>（</modifiedWord>
      <trackRevisions>false</trackRevisions>
    </reviewItem>
    <reviewItem>
      <errorID>16a30a9d-2199-47c2-973d-33a334c28416</errorID>
      <errorWord>[2022] 2号</errorWord>
      <group>L1_Knowledge</group>
      <groupName>知识性问题</groupName>
      <ability>L2_Knowledge</ability>
      <abilityName>其他知识</abilityName>
      <candidateList>
        <item>〔2022〕2号</item>
      </candidateList>
      <explain>发文字号格式错误。</explain>
      <paraID> 198C204</paraID>
      <start>73</start>
      <end>81</end>
      <status>modified</status>
      <modifiedWord>〔2022〕2号</modifiedWord>
      <trackRevisions>false</trackRevisions>
    </reviewItem>
    <reviewItem>
      <errorID>29e39881-7a14-4218-b408-14b4e935e4f9</errorID>
      <errorWord>)</errorWord>
      <group>L1_Format</group>
      <groupName>格式问题</groupName>
      <ability>L2_HalfPunc_CN</ability>
      <abilityName>全半角问题</abilityName>
      <candidateList>
        <item>）</item>
      </candidateList>
      <explain>文本全半角错误。</explain>
      <paraID> 198C204</paraID>
      <start>81</start>
      <end>82</end>
      <status>modified</status>
      <modifiedWord>）</modifiedWord>
      <trackRevisions>false</trackRevisions>
    </reviewItem>
    <reviewItem>
      <errorID>2983c501-4e0a-427c-b977-7b164690e3d3</errorID>
      <errorWord>包</errorWord>
      <group>L1_Word</group>
      <groupName>字词问题</groupName>
      <ability>L2_Typo</ability>
      <abilityName>字词错误</abilityName>
      <candidateList>
        <item>包括</item>
      </candidateList>
      <explain/>
      <paraID>1024F8C0</paraID>
      <start>4</start>
      <end>6</end>
      <status>modified</status>
      <modifiedWord>包括</modifiedWord>
      <trackRevisions>false</trackRevisions>
    </reviewItem>
    <reviewItem>
      <errorID>843aef8b-985a-4d6c-918c-6b42f7ac918a</errorID>
      <errorWord>招标通知</errorWord>
      <group>L1_Knowledge</group>
      <groupName>知识性问题</groupName>
      <ability>L2_Term</ability>
      <abilityName>专业术语</abilityName>
      <candidateList>
        <item>中标通知</item>
      </candidateList>
      <explain/>
      <paraID>20483154</paraID>
      <start>75</start>
      <end>79</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cd575e-1a72-4b02-8bec-8373a86d2b62}">
  <ds:schemaRefs/>
</ds:datastoreItem>
</file>

<file path=docProps/app.xml><?xml version="1.0" encoding="utf-8"?>
<Properties xmlns="http://schemas.openxmlformats.org/officeDocument/2006/extended-properties" xmlns:vt="http://schemas.openxmlformats.org/officeDocument/2006/docPropsVTypes">
  <Template>Normal.dotm</Template>
  <Pages>108</Pages>
  <Words>2516</Words>
  <Characters>2865</Characters>
  <Lines>0</Lines>
  <Paragraphs>0</Paragraphs>
  <TotalTime>13</TotalTime>
  <ScaleCrop>false</ScaleCrop>
  <LinksUpToDate>false</LinksUpToDate>
  <CharactersWithSpaces>2975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2024-08-16T08:58:00Z</dcterms:created>
  <dc:creator>ysq</dc:creator>
  <cp:lastModifiedBy>Ray Adas</cp:lastModifiedBy>
  <dcterms:modified xsi:type="dcterms:W3CDTF">2026-08-12T07:36:19Z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7E981CB5EB7A44C895E489CC74410898_12</vt:lpwstr>
  </property>
  <property fmtid="{D5CDD505-2E9C-101B-9397-08002B2CF9AE}" pid="4" name="KSOTemplateDocerSaveRecord">
    <vt:lpwstr>eyJoZGlkIjoiNzkwMzhjNmQ3MGI2NzRkMmY5ZGNiZjMyNzhjZWJjYjAiLCJ1c2VySWQiOiI0MTgzMTM0MzQifQ==</vt:lpwstr>
  </property>
</Properties>
</file>